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shd w:val="clear" w:color="auto" w:fill="FFFFFF"/>
        </w:rPr>
        <w:t>机电工程学院201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shd w:val="clear" w:color="auto" w:fill="FFFFFF"/>
        </w:rPr>
        <w:t>级、201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shd w:val="clear" w:color="auto" w:fill="FFFFFF"/>
          <w:lang w:val="en-US" w:eastAsia="zh-CN"/>
        </w:rPr>
        <w:t>7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shd w:val="clear" w:color="auto" w:fill="FFFFFF"/>
        </w:rPr>
        <w:t>级研究生</w:t>
      </w:r>
    </w:p>
    <w:p>
      <w:pPr>
        <w:widowControl/>
        <w:shd w:val="clear" w:color="auto" w:fill="FFFFFF"/>
        <w:spacing w:line="360" w:lineRule="auto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shd w:val="clear" w:color="auto" w:fill="FFFFFF"/>
        </w:rPr>
        <w:t>201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shd w:val="clear" w:color="auto" w:fill="FFFFFF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—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shd w:val="clear" w:color="auto" w:fill="FFFFFF"/>
        </w:rPr>
        <w:t>201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shd w:val="clear" w:color="auto" w:fill="FFFFFF"/>
        </w:rPr>
        <w:t>学年国家和学校学业奖学金、</w:t>
      </w:r>
      <w:r>
        <w:rPr>
          <w:rFonts w:ascii="宋体" w:hAnsi="宋体" w:eastAsia="宋体" w:cs="宋体"/>
          <w:b/>
          <w:kern w:val="0"/>
          <w:sz w:val="30"/>
          <w:szCs w:val="30"/>
          <w:lang w:bidi="ar"/>
        </w:rPr>
        <w:t>国家助学金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shd w:val="clear" w:color="auto" w:fill="FFFFFF"/>
        </w:rPr>
        <w:t>评定细则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>根据</w:t>
      </w:r>
      <w:r>
        <w:rPr>
          <w:rFonts w:hint="eastAsia" w:ascii="宋体" w:hAnsi="宋体" w:eastAsia="宋体" w:cs="宋体"/>
          <w:kern w:val="0"/>
          <w:sz w:val="24"/>
        </w:rPr>
        <w:t>研究生院《</w:t>
      </w:r>
      <w:r>
        <w:rPr>
          <w:rFonts w:ascii="宋体" w:hAnsi="宋体" w:eastAsia="宋体" w:cs="宋体"/>
          <w:kern w:val="0"/>
          <w:sz w:val="24"/>
        </w:rPr>
        <w:t>关于开展201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</w:rPr>
        <w:t>级、201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7</w:t>
      </w:r>
      <w:r>
        <w:rPr>
          <w:rFonts w:ascii="宋体" w:hAnsi="宋体" w:eastAsia="宋体" w:cs="宋体"/>
          <w:kern w:val="0"/>
          <w:sz w:val="24"/>
        </w:rPr>
        <w:t>级研究生201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8</w:t>
      </w:r>
      <w:r>
        <w:rPr>
          <w:rFonts w:ascii="宋体" w:hAnsi="宋体" w:eastAsia="宋体" w:cs="宋体"/>
          <w:kern w:val="0"/>
          <w:sz w:val="24"/>
        </w:rPr>
        <w:t>—201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9</w:t>
      </w:r>
      <w:r>
        <w:rPr>
          <w:rFonts w:ascii="宋体" w:hAnsi="宋体" w:eastAsia="宋体" w:cs="宋体"/>
          <w:kern w:val="0"/>
          <w:sz w:val="24"/>
        </w:rPr>
        <w:t>学年学业奖学金、国家助学金评定工作的通知</w:t>
      </w:r>
      <w:r>
        <w:rPr>
          <w:rFonts w:hint="eastAsia" w:ascii="宋体" w:hAnsi="宋体" w:eastAsia="宋体" w:cs="宋体"/>
          <w:kern w:val="0"/>
          <w:sz w:val="24"/>
        </w:rPr>
        <w:t>》、研究生院《2017年博士研究生学业奖学金评定等级及学术成果基本要求》，制定本评定细则。</w:t>
      </w:r>
    </w:p>
    <w:p>
      <w:pPr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       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ascii="宋体" w:hAnsi="宋体" w:eastAsia="宋体" w:cs="宋体"/>
          <w:b/>
          <w:bCs/>
          <w:kern w:val="0"/>
          <w:sz w:val="30"/>
          <w:szCs w:val="30"/>
        </w:rPr>
        <w:t>一、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研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>究生奖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助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>学金评定领导小组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组成</w:t>
      </w:r>
    </w:p>
    <w:p>
      <w:pPr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组长：  黄明辉</w:t>
      </w:r>
    </w:p>
    <w:p>
      <w:pPr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副组长：邓华、严宏志</w:t>
      </w:r>
    </w:p>
    <w:tbl>
      <w:tblPr>
        <w:tblStyle w:val="8"/>
        <w:tblW w:w="7142" w:type="dxa"/>
        <w:tblCellSpacing w:w="0" w:type="dxa"/>
        <w:tblInd w:w="-1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7142" w:type="dxa"/>
          </w:tcPr>
          <w:p>
            <w:pPr>
              <w:spacing w:line="360" w:lineRule="auto"/>
              <w:jc w:val="left"/>
              <w:rPr>
                <w:rFonts w:ascii="微软雅黑" w:hAnsi="微软雅黑" w:eastAsia="微软雅黑" w:cs="Arial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成员：张怀亮 ，段吉安，刘德福，湛利华，杨忠炯，易幼平，夏建芳，夏毅敏，吴万荣，帅词俊，贺继林，何玉辉，戴瑜，柳波，王江萍，蔡齐，何婷，博士生2人，硕士生2人。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二、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>评定依据</w:t>
      </w:r>
    </w:p>
    <w:p>
      <w:pPr>
        <w:spacing w:line="32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 w:eastAsia="宋体" w:cs="宋体"/>
          <w:kern w:val="0"/>
          <w:sz w:val="24"/>
        </w:rPr>
        <w:t>  </w:t>
      </w:r>
      <w:r>
        <w:rPr>
          <w:rFonts w:hint="eastAsia" w:ascii="宋体" w:hAnsi="宋体"/>
          <w:sz w:val="24"/>
        </w:rPr>
        <w:t>2016级、2017级博士研究生学业奖学金、助学金按《中南大学研究生奖助学金管理办法》（中大研字【2018】22号）、《中南大学研究生学业奖学金管理办法》（中大研字【2018】23号）、《中南大学研究生助学金管理办法》（中大研字【2018】26号）评定。</w:t>
      </w:r>
    </w:p>
    <w:p>
      <w:pPr>
        <w:spacing w:line="3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kern w:val="0"/>
          <w:sz w:val="24"/>
        </w:rPr>
        <w:t>一等学业奖学金获得者的评定标准不得低于学校文件的基本要求；二、三等学业奖学金按二级培养单位制定的实施细则进行评定。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 xml:space="preserve">  博士研究生学业奖学金（含国家研究生学业奖学金和学校研究生学业奖学金）根据2017年校党委常委会关于调整博士研究生学业奖学金评定标准的精神，按照学校确定的2017年博士研究生学业奖学金评定等级及学术成果基本要求（试行）（见附件1）评定； </w:t>
      </w:r>
    </w:p>
    <w:p>
      <w:pPr>
        <w:spacing w:line="3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 w:eastAsia="宋体" w:cs="宋体"/>
          <w:kern w:val="0"/>
          <w:sz w:val="24"/>
        </w:rPr>
        <w:t> </w:t>
      </w:r>
      <w:r>
        <w:rPr>
          <w:rFonts w:hint="eastAsia" w:ascii="宋体" w:hAnsi="宋体"/>
          <w:sz w:val="24"/>
          <w:lang w:val="en-US" w:eastAsia="zh-CN"/>
        </w:rPr>
        <w:t>2016级、2017级硕士研究生学业奖学金按《中南大学研究生学业奖学金管理暂行办法》（试行）（中大研字[2014]19号）评定；</w:t>
      </w:r>
    </w:p>
    <w:p>
      <w:pPr>
        <w:spacing w:line="3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2016级国家助学金按《中南大学研究生国家助学金管理暂行办法》（中大研字[2014]20号）评定；</w:t>
      </w:r>
    </w:p>
    <w:p>
      <w:pPr>
        <w:spacing w:line="3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2017级硕士研究生及所有公派出国研究生助学金按《中南大学研究生助学金管理办法》（中大研字【2018】26号）评定。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>  助学金：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>博士研究生助学金每生每年20000元，按10个月发放，每月2000元，每年7月、8月不发。</w:t>
      </w:r>
    </w:p>
    <w:p>
      <w:pPr>
        <w:rPr>
          <w:rFonts w:ascii="宋体" w:hAnsi="宋体" w:eastAsia="宋体" w:cs="宋体"/>
          <w:color w:val="FF0000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>硕士研究生：</w:t>
      </w:r>
      <w:r>
        <w:rPr>
          <w:rFonts w:hint="eastAsia" w:ascii="宋体" w:hAnsi="宋体" w:eastAsia="宋体" w:cs="宋体"/>
          <w:kern w:val="0"/>
          <w:sz w:val="24"/>
        </w:rPr>
        <w:t>学硕、专硕助学金每年</w:t>
      </w:r>
      <w:r>
        <w:rPr>
          <w:rFonts w:ascii="宋体" w:hAnsi="宋体" w:eastAsia="宋体" w:cs="宋体"/>
          <w:kern w:val="0"/>
          <w:sz w:val="24"/>
        </w:rPr>
        <w:t>6000</w:t>
      </w:r>
      <w:r>
        <w:rPr>
          <w:rFonts w:hint="eastAsia" w:ascii="宋体" w:hAnsi="宋体" w:eastAsia="宋体" w:cs="宋体"/>
          <w:kern w:val="0"/>
          <w:sz w:val="24"/>
        </w:rPr>
        <w:t>元，推免生</w:t>
      </w:r>
      <w:r>
        <w:rPr>
          <w:rFonts w:ascii="宋体" w:hAnsi="宋体" w:eastAsia="宋体" w:cs="宋体"/>
          <w:kern w:val="0"/>
          <w:sz w:val="24"/>
        </w:rPr>
        <w:t>8000</w:t>
      </w:r>
      <w:r>
        <w:rPr>
          <w:rFonts w:hint="eastAsia" w:ascii="宋体" w:hAnsi="宋体" w:eastAsia="宋体" w:cs="宋体"/>
          <w:kern w:val="0"/>
          <w:sz w:val="24"/>
        </w:rPr>
        <w:t>每年按</w:t>
      </w:r>
      <w:r>
        <w:rPr>
          <w:rFonts w:ascii="宋体" w:hAnsi="宋体" w:eastAsia="宋体" w:cs="宋体"/>
          <w:kern w:val="0"/>
          <w:sz w:val="24"/>
        </w:rPr>
        <w:t>12</w:t>
      </w:r>
      <w:r>
        <w:rPr>
          <w:rFonts w:hint="eastAsia" w:ascii="宋体" w:hAnsi="宋体" w:eastAsia="宋体" w:cs="宋体"/>
          <w:kern w:val="0"/>
          <w:sz w:val="24"/>
        </w:rPr>
        <w:t>个月平均发放。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三、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>申请条件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3.1 基本条件</w:t>
      </w:r>
    </w:p>
    <w:p>
      <w:pPr>
        <w:widowControl/>
        <w:numPr>
          <w:ilvl w:val="0"/>
          <w:numId w:val="1"/>
        </w:numPr>
        <w:tabs>
          <w:tab w:val="left" w:pos="31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热爱社会主义祖国，拥护中国共产党的领导； </w:t>
      </w:r>
    </w:p>
    <w:p>
      <w:pPr>
        <w:widowControl/>
        <w:numPr>
          <w:ilvl w:val="0"/>
          <w:numId w:val="1"/>
        </w:numPr>
        <w:tabs>
          <w:tab w:val="left" w:pos="31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遵守宪法和法律，遵守高等学校规章制度； </w:t>
      </w:r>
    </w:p>
    <w:p>
      <w:pPr>
        <w:widowControl/>
        <w:numPr>
          <w:ilvl w:val="0"/>
          <w:numId w:val="1"/>
        </w:numPr>
        <w:tabs>
          <w:tab w:val="left" w:pos="31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诚实守信，品学兼优；</w:t>
      </w:r>
    </w:p>
    <w:p>
      <w:pPr>
        <w:widowControl/>
        <w:numPr>
          <w:ilvl w:val="0"/>
          <w:numId w:val="1"/>
        </w:numPr>
        <w:tabs>
          <w:tab w:val="left" w:pos="31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学习成绩优异，科研能力或创新实践能力突出； </w:t>
      </w:r>
    </w:p>
    <w:p>
      <w:pPr>
        <w:widowControl/>
        <w:numPr>
          <w:ilvl w:val="0"/>
          <w:numId w:val="1"/>
        </w:numPr>
        <w:tabs>
          <w:tab w:val="left" w:pos="31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按学校规定时间报到和注册； </w:t>
      </w:r>
    </w:p>
    <w:p>
      <w:pPr>
        <w:widowControl/>
        <w:numPr>
          <w:ilvl w:val="0"/>
          <w:numId w:val="1"/>
        </w:numPr>
        <w:tabs>
          <w:tab w:val="left" w:pos="31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身心健康。 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3.2硕士研究生奖学金申请者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3.2.1硕士</w:t>
      </w:r>
      <w:r>
        <w:rPr>
          <w:rFonts w:ascii="宋体" w:hAnsi="宋体" w:eastAsia="宋体" w:cs="宋体"/>
          <w:b/>
          <w:bCs/>
          <w:sz w:val="24"/>
        </w:rPr>
        <w:t xml:space="preserve">研究生有下列情况之一的，不能参评国家研究生学业奖学金 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>
      <w:pPr>
        <w:pStyle w:val="1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“有两门及以上课程不及格”或加权平均绩点小于</w:t>
      </w:r>
      <w:r>
        <w:rPr>
          <w:rFonts w:ascii="宋体" w:hAnsi="宋体" w:eastAsia="宋体" w:cs="宋体"/>
          <w:sz w:val="24"/>
        </w:rPr>
        <w:t xml:space="preserve"> 2.5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color w:val="000000"/>
          <w:sz w:val="24"/>
        </w:rPr>
        <w:t>均不能申请奖学金。</w:t>
      </w:r>
    </w:p>
    <w:p>
      <w:pPr>
        <w:pStyle w:val="1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考试作弊；</w:t>
      </w:r>
    </w:p>
    <w:p>
      <w:pPr>
        <w:pStyle w:val="1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参评学年内休学；</w:t>
      </w:r>
    </w:p>
    <w:p>
      <w:pPr>
        <w:pStyle w:val="1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学年考核不合格；</w:t>
      </w:r>
    </w:p>
    <w:p>
      <w:pPr>
        <w:pStyle w:val="1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直博生和硕博连读研究生申请转为硕士研究生；</w:t>
      </w:r>
    </w:p>
    <w:p>
      <w:pPr>
        <w:pStyle w:val="1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在学术研究中有弄虚作假行为；</w:t>
      </w:r>
      <w:r>
        <w:rPr>
          <w:rFonts w:ascii="宋体" w:hAnsi="宋体" w:eastAsia="宋体" w:cs="宋体"/>
          <w:sz w:val="24"/>
        </w:rPr>
        <w:t xml:space="preserve"> </w:t>
      </w:r>
      <w:bookmarkStart w:id="1" w:name="_GoBack"/>
      <w:bookmarkEnd w:id="1"/>
    </w:p>
    <w:p>
      <w:pPr>
        <w:pStyle w:val="1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受学校通报批评或警告以上违纪处分；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pStyle w:val="1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在科学研究和实验工作中造成重大事故及损失；</w:t>
      </w:r>
    </w:p>
    <w:p>
      <w:pPr>
        <w:pStyle w:val="1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参加非法组织及活动；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pStyle w:val="1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在职攻读学位。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3.2.2 因课程成绩原因导致学校研究生学业奖学金被下调等级的研究生，如有下列情况之一，可申请将学校研究生学业奖学金等级上调：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硕士研究生以第一作者在国内外知名期刊上（EI以上）发表高水平学术论文（第一作者和第一通讯作者单位都须为中南大学）；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以中南大学为第一完成单位且研究生本人以第一申请人（或导师为第一申请人，研究生为第二申请人）获得国家授权发明专利；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在国际或全国竞赛中取得三等奖以上奖励；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获得国家级科技奖或人文社科奖前</w:t>
      </w:r>
      <w:r>
        <w:rPr>
          <w:rFonts w:ascii="宋体" w:hAnsi="宋体" w:eastAsia="宋体" w:cs="宋体"/>
          <w:sz w:val="24"/>
        </w:rPr>
        <w:t>5</w:t>
      </w:r>
      <w:r>
        <w:rPr>
          <w:rFonts w:hint="eastAsia" w:ascii="宋体" w:hAnsi="宋体" w:eastAsia="宋体" w:cs="宋体"/>
          <w:sz w:val="24"/>
        </w:rPr>
        <w:t>名，获得省部级科技奖或人文社科奖前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名；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做出特殊贡献，取得突出社会效益。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3.3博士研究生奖学金申请者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3.3.1博士</w:t>
      </w:r>
      <w:r>
        <w:rPr>
          <w:rFonts w:ascii="宋体" w:hAnsi="宋体" w:eastAsia="宋体" w:cs="宋体"/>
          <w:b/>
          <w:bCs/>
          <w:sz w:val="24"/>
        </w:rPr>
        <w:t>研究生有下列情况之一的，不能参评国家研究生学业奖学金：</w:t>
      </w:r>
    </w:p>
    <w:p>
      <w:pPr>
        <w:pStyle w:val="10"/>
        <w:widowControl/>
        <w:numPr>
          <w:ilvl w:val="1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上学年度受到通报批评或警告以上违纪处分者；</w:t>
      </w:r>
    </w:p>
    <w:p>
      <w:pPr>
        <w:pStyle w:val="10"/>
        <w:widowControl/>
        <w:numPr>
          <w:ilvl w:val="1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参评时学位课考试成绩不及格者；</w:t>
      </w:r>
    </w:p>
    <w:p>
      <w:pPr>
        <w:pStyle w:val="10"/>
        <w:widowControl/>
        <w:numPr>
          <w:ilvl w:val="1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参评学年内休学者；</w:t>
      </w:r>
    </w:p>
    <w:p>
      <w:pPr>
        <w:pStyle w:val="10"/>
        <w:widowControl/>
        <w:numPr>
          <w:ilvl w:val="1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学年考核不合格者；</w:t>
      </w:r>
    </w:p>
    <w:p>
      <w:pPr>
        <w:pStyle w:val="10"/>
        <w:widowControl/>
        <w:numPr>
          <w:ilvl w:val="1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在学术研究中有弄虚作假行为者；</w:t>
      </w:r>
    </w:p>
    <w:p>
      <w:pPr>
        <w:pStyle w:val="10"/>
        <w:widowControl/>
        <w:numPr>
          <w:ilvl w:val="1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在科学研究和实验工作、临床实践中造成重大事故及损失者；</w:t>
      </w:r>
    </w:p>
    <w:p>
      <w:pPr>
        <w:pStyle w:val="10"/>
        <w:widowControl/>
        <w:numPr>
          <w:ilvl w:val="1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未经导师和二级单位同意擅自在校外兼职者；</w:t>
      </w:r>
    </w:p>
    <w:p>
      <w:pPr>
        <w:pStyle w:val="10"/>
        <w:widowControl/>
        <w:numPr>
          <w:ilvl w:val="1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超过学校规定基本学制者；</w:t>
      </w:r>
    </w:p>
    <w:p>
      <w:pPr>
        <w:pStyle w:val="10"/>
        <w:widowControl/>
        <w:numPr>
          <w:ilvl w:val="1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参加非法组织及活动者；</w:t>
      </w:r>
    </w:p>
    <w:p>
      <w:pPr>
        <w:pStyle w:val="10"/>
        <w:widowControl/>
        <w:numPr>
          <w:ilvl w:val="1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其他有损学校声誉的行为者。</w:t>
      </w:r>
    </w:p>
    <w:p>
      <w:pPr>
        <w:pStyle w:val="10"/>
        <w:widowControl/>
        <w:numPr>
          <w:ilvl w:val="1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“有两门及以上课程不及格”或“绩点小于</w:t>
      </w:r>
      <w:r>
        <w:rPr>
          <w:rFonts w:ascii="宋体" w:hAnsi="宋体" w:eastAsia="宋体" w:cs="宋体"/>
          <w:sz w:val="24"/>
        </w:rPr>
        <w:t>2.5</w:t>
      </w:r>
      <w:r>
        <w:rPr>
          <w:rFonts w:hint="eastAsia" w:ascii="宋体" w:hAnsi="宋体" w:eastAsia="宋体" w:cs="宋体"/>
          <w:sz w:val="24"/>
        </w:rPr>
        <w:t>”的，均不能申请奖学金，只能申请助学金。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color w:val="FF0000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3.3.2 博士</w:t>
      </w:r>
      <w:r>
        <w:rPr>
          <w:rFonts w:ascii="宋体" w:hAnsi="宋体" w:eastAsia="宋体" w:cs="宋体"/>
          <w:b/>
          <w:bCs/>
          <w:sz w:val="24"/>
        </w:rPr>
        <w:t xml:space="preserve">研究生有下列情况之一的，研究生学业奖学金下调一个等级或调整为零额（少数民族骨干计划和强军计划研究生除外）。 </w:t>
      </w:r>
    </w:p>
    <w:p>
      <w:pPr>
        <w:widowControl/>
        <w:tabs>
          <w:tab w:val="left" w:pos="312"/>
        </w:tabs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有下列情况之一的，研究生学业奖学金下调一个等级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（1）本学年有 1 门课程考试不及格或经重修仍不及格；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（2）在学位论文阶段，不努力钻研，项目研究无明显进展。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有下列情况之一的，学校研究生学业奖学金调整为零额</w:t>
      </w:r>
      <w:r>
        <w:rPr>
          <w:rFonts w:hint="eastAsia" w:ascii="宋体" w:hAnsi="宋体" w:eastAsia="宋体" w:cs="宋体"/>
          <w:sz w:val="24"/>
        </w:rPr>
        <w:t>：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（1）研究生本学年有 2 门及以上课程考试不及格；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（2）课程考试及格但加权平均绩点小于 2.5；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（3）考试作弊；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（4）学年考核不合格；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（5）在学术研究中有弄虚作假行为；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（6）受学校通报批评或警告以上违纪处分；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（7）在科学研究和实验工作、临床实践中造成重大事故及 损失；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（8）未经导师和二级单位同意擅自在校外兼职；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（9）参加非法组织及活动； 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（10）在职攻读学位。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3.3.3 </w:t>
      </w:r>
      <w:r>
        <w:rPr>
          <w:rFonts w:hint="eastAsia" w:ascii="宋体" w:hAnsi="宋体" w:eastAsia="宋体" w:cs="宋体"/>
          <w:sz w:val="24"/>
        </w:rPr>
        <w:t>博士研究生有下列情况之一的，可酌情课程成绩要求，申请参评（上调）研究生学业奖学金：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pStyle w:val="10"/>
        <w:widowControl/>
        <w:numPr>
          <w:ilvl w:val="1"/>
          <w:numId w:val="5"/>
        </w:numPr>
        <w:spacing w:line="360" w:lineRule="auto"/>
        <w:ind w:firstLineChars="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博士研究生在nature系列、science、cell等68种自然科学期刊，以“中南大学”为第一署名单位，以第一作者（或导师第一，本人第二）发表1篇以上学术论文，可直接申请</w:t>
      </w:r>
      <w:r>
        <w:rPr>
          <w:rFonts w:hint="eastAsia" w:ascii="宋体" w:hAnsi="宋体" w:eastAsia="宋体" w:cs="宋体"/>
          <w:sz w:val="24"/>
        </w:rPr>
        <w:t>一等学业奖学金；</w:t>
      </w:r>
    </w:p>
    <w:p>
      <w:pPr>
        <w:pStyle w:val="10"/>
        <w:widowControl/>
        <w:numPr>
          <w:ilvl w:val="1"/>
          <w:numId w:val="5"/>
        </w:numPr>
        <w:spacing w:line="360" w:lineRule="auto"/>
        <w:ind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如符合评定一等学业奖学金学术成果参评条件之一，可申请上调等级，参评二等或三等学业奖学金。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3.3.4博士研究生评定一等学业奖学金学术成果的基本要求</w:t>
      </w:r>
    </w:p>
    <w:p>
      <w:pPr>
        <w:spacing w:after="0" w:line="390" w:lineRule="exact"/>
        <w:ind w:left="84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1)以“ 中南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大学” 为第一署名单位，以第一作者或导师为第一作者、研究生为第二作者已发表学术论文的基本要求：理、工、医类等其他学科须在中科院最新 SCI 收录期刊二区及以上或 NI 指数 68 种学术期刊发表论文 1 篇或计算机学会认定的Ｂ类及以上会议论文；</w:t>
      </w:r>
    </w:p>
    <w:p>
      <w:pPr>
        <w:spacing w:after="0" w:line="151" w:lineRule="exact"/>
        <w:rPr>
          <w:color w:val="auto"/>
          <w:sz w:val="20"/>
          <w:szCs w:val="20"/>
        </w:rPr>
      </w:pPr>
    </w:p>
    <w:p>
      <w:pPr>
        <w:spacing w:after="0" w:line="390" w:lineRule="exact"/>
        <w:ind w:left="84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2)以中南大学为第一完成单位且研究生本人以第一申请人（或导师为第一申请人，研究生为第二申请人）获得国家授权发明专利；</w:t>
      </w:r>
    </w:p>
    <w:p>
      <w:pPr>
        <w:spacing w:after="0" w:line="390" w:lineRule="exact"/>
        <w:ind w:firstLine="960" w:firstLineChars="4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3)获国际、国家级学科竞赛一等奖以上奖励，且排名前三；</w:t>
      </w:r>
    </w:p>
    <w:p>
      <w:pPr>
        <w:spacing w:after="0" w:line="390" w:lineRule="exact"/>
        <w:ind w:firstLine="960" w:firstLineChars="4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4)获国家自然科学奖、国家技术发明奖和国家科技进步奖、高等学校科学研究优秀成果奖（人文社会科学）或省部级科技奖一等奖，且有证书；</w:t>
      </w:r>
    </w:p>
    <w:p>
      <w:pPr>
        <w:spacing w:after="0" w:line="390" w:lineRule="exact"/>
        <w:ind w:left="840"/>
        <w:rPr>
          <w:rFonts w:hint="eastAsia" w:ascii="宋体" w:hAnsi="宋体" w:eastAsia="宋体" w:cs="宋体"/>
          <w:sz w:val="24"/>
          <w:lang w:val="en-US" w:eastAsia="zh-CN"/>
        </w:rPr>
      </w:pPr>
    </w:p>
    <w:p>
      <w:pPr>
        <w:spacing w:after="0" w:line="390" w:lineRule="exact"/>
        <w:ind w:firstLine="720" w:firstLineChars="3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5)做出特殊贡献，取得突出社会效益。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3.3.5 博士研究生评定二、三等学业奖学金的基本要求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符合基本申请条件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.1，且不存在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.3.1和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.3.2的情况</w:t>
      </w:r>
      <w:bookmarkStart w:id="0" w:name="page5"/>
      <w:bookmarkEnd w:id="0"/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四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>、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本次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>评定指标和对象</w:t>
      </w:r>
    </w:p>
    <w:p>
      <w:pPr>
        <w:widowControl/>
        <w:spacing w:line="360" w:lineRule="auto"/>
        <w:ind w:firstLine="480" w:firstLineChars="200"/>
        <w:jc w:val="left"/>
        <w:rPr>
          <w:sz w:val="20"/>
          <w:szCs w:val="20"/>
        </w:rPr>
      </w:pPr>
      <w:r>
        <w:rPr>
          <w:rFonts w:ascii="宋体" w:hAnsi="宋体" w:eastAsia="宋体" w:cs="宋体"/>
          <w:kern w:val="0"/>
          <w:sz w:val="24"/>
        </w:rPr>
        <w:t>评定对象包括201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</w:rPr>
        <w:t>级、201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7</w:t>
      </w:r>
      <w:r>
        <w:rPr>
          <w:rFonts w:ascii="宋体" w:hAnsi="宋体" w:eastAsia="宋体" w:cs="宋体"/>
          <w:kern w:val="0"/>
          <w:sz w:val="24"/>
        </w:rPr>
        <w:t>级全日制脱产博士研究生、硕士研究生；不包括保留到201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</w:rPr>
        <w:t>年实际入学的201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4</w:t>
      </w:r>
      <w:r>
        <w:rPr>
          <w:rFonts w:ascii="宋体" w:hAnsi="宋体" w:eastAsia="宋体" w:cs="宋体"/>
          <w:kern w:val="0"/>
          <w:sz w:val="24"/>
        </w:rPr>
        <w:t>级硕士研究生及201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</w:rPr>
        <w:t>级、201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7</w:t>
      </w:r>
      <w:r>
        <w:rPr>
          <w:rFonts w:ascii="宋体" w:hAnsi="宋体" w:eastAsia="宋体" w:cs="宋体"/>
          <w:kern w:val="0"/>
          <w:sz w:val="24"/>
        </w:rPr>
        <w:t>级单考生</w:t>
      </w:r>
      <w:r>
        <w:rPr>
          <w:rFonts w:hint="eastAsia" w:ascii="宋体" w:hAnsi="宋体" w:eastAsia="宋体" w:cs="宋体"/>
          <w:kern w:val="0"/>
          <w:sz w:val="24"/>
        </w:rPr>
        <w:t>、</w:t>
      </w:r>
      <w:r>
        <w:rPr>
          <w:rFonts w:ascii="宋体" w:hAnsi="宋体" w:eastAsia="宋体" w:cs="宋体"/>
          <w:kern w:val="0"/>
          <w:sz w:val="24"/>
        </w:rPr>
        <w:t>在职攻读的研究生（ “高层次人才强军计划”、在职少数民族骨干计划研究生除外）等。 “高层次人才强军计划”、 “少数民族骨干计划”研究生需提交申请，参与各二级单位研究生学业奖学金动态评定。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博士研究生：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4"/>
        </w:rPr>
        <w:t>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</w:rPr>
        <w:t>级机电工程学院博士生研究生学业奖学金指标：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计划人数：国家一等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</w:rPr>
        <w:t xml:space="preserve">人,二等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</w:rPr>
        <w:t>人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；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</w:rPr>
        <w:t>现有学生：直博生(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</w:rPr>
        <w:t>人)，参评人数：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</w:rPr>
        <w:t>人</w:t>
      </w:r>
    </w:p>
    <w:p>
      <w:pPr>
        <w:widowControl/>
        <w:spacing w:line="360" w:lineRule="auto"/>
        <w:ind w:left="1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</w:rPr>
        <w:t>、</w:t>
      </w:r>
      <w:r>
        <w:rPr>
          <w:rFonts w:hint="eastAsia" w:ascii="宋体" w:hAnsi="宋体" w:eastAsia="宋体" w:cs="宋体"/>
          <w:kern w:val="0"/>
          <w:sz w:val="24"/>
        </w:rPr>
        <w:fldChar w:fldCharType="begin"/>
      </w:r>
      <w:r>
        <w:rPr>
          <w:rFonts w:ascii="宋体" w:hAnsi="宋体" w:eastAsia="宋体" w:cs="宋体"/>
          <w:kern w:val="0"/>
          <w:sz w:val="24"/>
        </w:rPr>
        <w:instrText xml:space="preserve"> HYPERLINK "http://award.csu.edu.cn/jzxjsp/xxsp_yx_yjxy_list.aspx?id=581BFA0F5B96B596E05316011EACF4B9@%u673A%u7535%u5DE5%u7A0B%u5B66%u9662@%u673A%u7535%u5DE5%u7A0B%u5B66%u9662@2014@%u535A%u58EB%u751F@%u76F4%u535A" \t "http://award.csu.edu.cn/jzxjsp/_blank"</w:instrText>
      </w:r>
      <w:r>
        <w:rPr>
          <w:rFonts w:hint="eastAsia" w:ascii="宋体" w:hAnsi="宋体" w:eastAsia="宋体" w:cs="宋体"/>
          <w:kern w:val="0"/>
          <w:sz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</w:rPr>
        <w:t>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</w:rPr>
        <w:t>级机电工程学院博士生研究生学业奖学金指标：</w:t>
      </w:r>
    </w:p>
    <w:p>
      <w:pPr>
        <w:widowControl/>
        <w:spacing w:line="360" w:lineRule="auto"/>
        <w:ind w:left="1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计划人数：国家一等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</w:rPr>
        <w:t xml:space="preserve"> 人,二等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</w:rPr>
        <w:t>人；</w:t>
      </w:r>
      <w:r>
        <w:rPr>
          <w:rFonts w:hint="eastAsia" w:ascii="宋体" w:hAnsi="宋体" w:eastAsia="宋体" w:cs="宋体"/>
          <w:kern w:val="0"/>
          <w:sz w:val="24"/>
        </w:rPr>
        <w:fldChar w:fldCharType="end"/>
      </w:r>
    </w:p>
    <w:p>
      <w:pPr>
        <w:widowControl/>
        <w:spacing w:line="360" w:lineRule="auto"/>
        <w:ind w:left="1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现有学生：直博生(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</w:rPr>
        <w:t>人)，参评人数：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</w:rPr>
        <w:t>人</w:t>
      </w:r>
    </w:p>
    <w:p>
      <w:pPr>
        <w:widowControl/>
        <w:numPr>
          <w:ilvl w:val="0"/>
          <w:numId w:val="0"/>
        </w:numPr>
        <w:spacing w:line="360" w:lineRule="auto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3、</w:t>
      </w:r>
      <w:r>
        <w:rPr>
          <w:rFonts w:hint="eastAsia" w:ascii="宋体" w:hAnsi="宋体" w:eastAsia="宋体" w:cs="宋体"/>
          <w:kern w:val="0"/>
          <w:sz w:val="24"/>
        </w:rPr>
        <w:fldChar w:fldCharType="begin"/>
      </w:r>
      <w:r>
        <w:rPr>
          <w:rFonts w:ascii="宋体" w:hAnsi="宋体" w:eastAsia="宋体" w:cs="宋体"/>
          <w:kern w:val="0"/>
          <w:sz w:val="24"/>
        </w:rPr>
        <w:instrText xml:space="preserve"> HYPERLINK "http://award.csu.edu.cn/jzxjsp/xxsp_yx_yjxy_list.aspx?id=581BFA0F5B96B596E05316011EACF4B9@%u673A%u7535%u5DE5%u7A0B%u5B66%u9662@%u673A%u7535%u5DE5%u7A0B%u5B66%u9662@2015@%u535A%u58EB%u751F@%u5168%u90E8" \t "http://award.csu.edu.cn/jzxjsp/_blank"</w:instrText>
      </w:r>
      <w:r>
        <w:rPr>
          <w:rFonts w:hint="eastAsia" w:ascii="宋体" w:hAnsi="宋体" w:eastAsia="宋体" w:cs="宋体"/>
          <w:kern w:val="0"/>
          <w:sz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</w:rPr>
        <w:t>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</w:rPr>
        <w:t>级机电工程学院博士生研究生学业奖学金指标：</w:t>
      </w:r>
    </w:p>
    <w:p>
      <w:pPr>
        <w:widowControl/>
        <w:spacing w:line="360" w:lineRule="auto"/>
        <w:ind w:left="1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计划人数：国家 一等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9</w:t>
      </w:r>
      <w:r>
        <w:rPr>
          <w:rFonts w:hint="eastAsia" w:ascii="宋体" w:hAnsi="宋体" w:eastAsia="宋体" w:cs="宋体"/>
          <w:kern w:val="0"/>
          <w:sz w:val="24"/>
        </w:rPr>
        <w:t xml:space="preserve"> 人,二等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17</w:t>
      </w:r>
      <w:r>
        <w:rPr>
          <w:rFonts w:hint="eastAsia" w:ascii="宋体" w:hAnsi="宋体" w:eastAsia="宋体" w:cs="宋体"/>
          <w:kern w:val="0"/>
          <w:sz w:val="24"/>
        </w:rPr>
        <w:t>人,三等 3 人；</w:t>
      </w:r>
      <w:r>
        <w:rPr>
          <w:rFonts w:hint="eastAsia" w:ascii="宋体" w:hAnsi="宋体" w:eastAsia="宋体" w:cs="宋体"/>
          <w:kern w:val="0"/>
          <w:sz w:val="24"/>
        </w:rPr>
        <w:fldChar w:fldCharType="end"/>
      </w:r>
      <w:r>
        <w:rPr>
          <w:rFonts w:ascii="宋体" w:hAnsi="宋体" w:eastAsia="宋体" w:cs="宋体"/>
          <w:kern w:val="0"/>
          <w:sz w:val="24"/>
        </w:rPr>
        <w:t xml:space="preserve"> </w:t>
      </w:r>
    </w:p>
    <w:p>
      <w:pPr>
        <w:widowControl/>
        <w:numPr>
          <w:ilvl w:val="0"/>
          <w:numId w:val="0"/>
        </w:numPr>
        <w:spacing w:line="360" w:lineRule="auto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4、</w:t>
      </w:r>
      <w:r>
        <w:rPr>
          <w:rFonts w:hint="eastAsia" w:ascii="宋体" w:hAnsi="宋体" w:eastAsia="宋体" w:cs="宋体"/>
          <w:kern w:val="0"/>
          <w:sz w:val="24"/>
        </w:rPr>
        <w:fldChar w:fldCharType="begin"/>
      </w:r>
      <w:r>
        <w:rPr>
          <w:rFonts w:ascii="宋体" w:hAnsi="宋体" w:eastAsia="宋体" w:cs="宋体"/>
          <w:kern w:val="0"/>
          <w:sz w:val="24"/>
        </w:rPr>
        <w:instrText xml:space="preserve"> HYPERLINK "http://award.csu.edu.cn/jzxjsp/xxsp_yx_yjxy_list.aspx?id=581BFA0F5B96B596E05316011EACF4B9@%u673A%u7535%u5DE5%u7A0B%u5B66%u9662@%u673A%u7535%u5DE5%u7A0B%u5B66%u9662@2016@%u535A%u58EB%u751F@%u5168%u90E8" \t "http://award.csu.edu.cn/jzxjsp/_blank"</w:instrText>
      </w:r>
      <w:r>
        <w:rPr>
          <w:rFonts w:hint="eastAsia" w:ascii="宋体" w:hAnsi="宋体" w:eastAsia="宋体" w:cs="宋体"/>
          <w:kern w:val="0"/>
          <w:sz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</w:rPr>
        <w:t>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kern w:val="0"/>
          <w:sz w:val="24"/>
        </w:rPr>
        <w:t>级机电工程学院博士生研究生学业奖学金指标：</w:t>
      </w:r>
    </w:p>
    <w:p>
      <w:pPr>
        <w:widowControl/>
        <w:spacing w:line="360" w:lineRule="auto"/>
        <w:ind w:left="1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计划人数：国家 一等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14</w:t>
      </w:r>
      <w:r>
        <w:rPr>
          <w:rFonts w:hint="eastAsia" w:ascii="宋体" w:hAnsi="宋体" w:eastAsia="宋体" w:cs="宋体"/>
          <w:kern w:val="0"/>
          <w:sz w:val="24"/>
        </w:rPr>
        <w:t xml:space="preserve"> 人,二等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28</w:t>
      </w:r>
      <w:r>
        <w:rPr>
          <w:rFonts w:hint="eastAsia" w:ascii="宋体" w:hAnsi="宋体" w:eastAsia="宋体" w:cs="宋体"/>
          <w:kern w:val="0"/>
          <w:sz w:val="24"/>
        </w:rPr>
        <w:t xml:space="preserve"> 人,三等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</w:rPr>
        <w:t xml:space="preserve"> 人；</w:t>
      </w:r>
      <w:r>
        <w:rPr>
          <w:rFonts w:hint="eastAsia" w:ascii="宋体" w:hAnsi="宋体" w:eastAsia="宋体" w:cs="宋体"/>
          <w:kern w:val="0"/>
          <w:sz w:val="24"/>
        </w:rPr>
        <w:fldChar w:fldCharType="end"/>
      </w:r>
      <w:r>
        <w:rPr>
          <w:rFonts w:ascii="宋体" w:hAnsi="宋体" w:eastAsia="宋体" w:cs="宋体"/>
          <w:kern w:val="0"/>
          <w:sz w:val="24"/>
        </w:rPr>
        <w:t xml:space="preserve"> 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硕士研究生：</w:t>
      </w:r>
    </w:p>
    <w:p>
      <w:pPr>
        <w:widowControl/>
        <w:numPr>
          <w:ilvl w:val="0"/>
          <w:numId w:val="6"/>
        </w:numPr>
        <w:spacing w:line="360" w:lineRule="auto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fldChar w:fldCharType="begin"/>
      </w:r>
      <w:r>
        <w:rPr>
          <w:rFonts w:ascii="宋体" w:hAnsi="宋体" w:eastAsia="宋体" w:cs="宋体"/>
          <w:kern w:val="0"/>
          <w:sz w:val="24"/>
        </w:rPr>
        <w:instrText xml:space="preserve"> HYPERLINK "http://award.csu.edu.cn/jzxjsp/xxsp_yx_yjxy_list.aspx?id=581BFA0F5B96B596E05316011EACF4B9@%u673A%u7535%u5DE5%u7A0B%u5B66%u9662@%u673A%u7535%u5DE5%u7A0B%u5B66%u9662@2015@%u7855%u58EB%u751F@%u5168%u90E8" \t "http://award.csu.edu.cn/jzxjsp/_blank"</w:instrText>
      </w:r>
      <w:r>
        <w:rPr>
          <w:rFonts w:hint="eastAsia" w:ascii="宋体" w:hAnsi="宋体" w:eastAsia="宋体" w:cs="宋体"/>
          <w:kern w:val="0"/>
          <w:sz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</w:rPr>
        <w:t>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</w:rPr>
        <w:t>级机电工程学院硕士生研究生学业奖学金指标：</w:t>
      </w:r>
    </w:p>
    <w:p>
      <w:pPr>
        <w:widowControl/>
        <w:spacing w:line="360" w:lineRule="auto"/>
        <w:ind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计划人数：国家</w:t>
      </w:r>
      <w:r>
        <w:rPr>
          <w:rFonts w:ascii="宋体" w:hAnsi="宋体" w:eastAsia="宋体" w:cs="宋体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>一等</w:t>
      </w:r>
      <w:r>
        <w:rPr>
          <w:rFonts w:ascii="宋体" w:hAnsi="宋体" w:eastAsia="宋体" w:cs="宋体"/>
          <w:kern w:val="0"/>
          <w:sz w:val="24"/>
        </w:rPr>
        <w:t xml:space="preserve"> 16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>人；学校</w:t>
      </w:r>
      <w:r>
        <w:rPr>
          <w:rFonts w:ascii="宋体" w:hAnsi="宋体" w:eastAsia="宋体" w:cs="宋体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>一等、二等</w:t>
      </w:r>
      <w:r>
        <w:rPr>
          <w:rFonts w:ascii="宋体" w:hAnsi="宋体" w:eastAsia="宋体" w:cs="宋体"/>
          <w:kern w:val="0"/>
          <w:sz w:val="24"/>
        </w:rPr>
        <w:t xml:space="preserve"> 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80</w:t>
      </w:r>
      <w:r>
        <w:rPr>
          <w:rFonts w:ascii="宋体" w:hAnsi="宋体" w:eastAsia="宋体" w:cs="宋体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>人；</w:t>
      </w:r>
      <w:r>
        <w:rPr>
          <w:rFonts w:hint="eastAsia" w:ascii="宋体" w:hAnsi="宋体" w:eastAsia="宋体" w:cs="宋体"/>
          <w:kern w:val="0"/>
          <w:sz w:val="24"/>
        </w:rPr>
        <w:fldChar w:fldCharType="end"/>
      </w:r>
    </w:p>
    <w:p>
      <w:pPr>
        <w:widowControl/>
        <w:spacing w:line="360" w:lineRule="auto"/>
        <w:ind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参评人数：</w:t>
      </w:r>
      <w:r>
        <w:rPr>
          <w:rFonts w:ascii="宋体" w:hAnsi="宋体" w:eastAsia="宋体" w:cs="宋体"/>
          <w:kern w:val="0"/>
          <w:sz w:val="24"/>
        </w:rPr>
        <w:t>18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0</w:t>
      </w:r>
      <w:r>
        <w:rPr>
          <w:rFonts w:hint="eastAsia" w:ascii="宋体" w:hAnsi="宋体" w:eastAsia="宋体" w:cs="宋体"/>
          <w:kern w:val="0"/>
          <w:sz w:val="24"/>
        </w:rPr>
        <w:t>人；</w:t>
      </w:r>
    </w:p>
    <w:p>
      <w:pPr>
        <w:widowControl/>
        <w:spacing w:line="360" w:lineRule="auto"/>
        <w:ind w:left="420"/>
        <w:jc w:val="left"/>
        <w:textAlignment w:val="center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学术型硕士一等指标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</w:rPr>
        <w:t xml:space="preserve"> = </w:t>
      </w:r>
      <w:r>
        <w:rPr>
          <w:rFonts w:hint="eastAsia" w:ascii="宋体" w:hAnsi="宋体" w:eastAsia="宋体" w:cs="宋体"/>
          <w:kern w:val="0"/>
          <w:sz w:val="24"/>
        </w:rPr>
        <w:object>
          <v:shape id="_x0000_i1025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4"/>
        </w:rPr>
        <w:t>（ 其中a为学术型学生人数、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b</w:t>
      </w:r>
      <w:r>
        <w:rPr>
          <w:rFonts w:hint="eastAsia" w:ascii="宋体" w:hAnsi="宋体" w:eastAsia="宋体" w:cs="宋体"/>
          <w:kern w:val="0"/>
          <w:sz w:val="24"/>
        </w:rPr>
        <w:t>为参评学生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人数、c为校一等指标人数）=</w:t>
      </w:r>
      <w:r>
        <w:rPr>
          <w:rFonts w:hint="eastAsia" w:ascii="宋体" w:hAnsi="宋体" w:eastAsia="宋体" w:cs="宋体"/>
          <w:kern w:val="0"/>
          <w:sz w:val="24"/>
        </w:rPr>
        <w:object>
          <v:shape id="_x0000_i1026" o:spt="75" alt="" type="#_x0000_t75" style="height:34pt;width:52.6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=93</w:t>
      </w:r>
      <w:r>
        <w:rPr>
          <w:rFonts w:hint="eastAsia" w:ascii="宋体" w:hAnsi="宋体" w:eastAsia="宋体" w:cs="宋体"/>
          <w:kern w:val="0"/>
          <w:sz w:val="24"/>
        </w:rPr>
        <w:t>（人）</w:t>
      </w:r>
    </w:p>
    <w:p>
      <w:pPr>
        <w:widowControl/>
        <w:spacing w:line="360" w:lineRule="auto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专业型硕士一等指标：同上=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73</w:t>
      </w:r>
      <w:r>
        <w:rPr>
          <w:rFonts w:hint="eastAsia" w:ascii="宋体" w:hAnsi="宋体" w:eastAsia="宋体" w:cs="宋体"/>
          <w:kern w:val="0"/>
          <w:sz w:val="24"/>
        </w:rPr>
        <w:t>（人）</w:t>
      </w:r>
    </w:p>
    <w:p>
      <w:pPr>
        <w:widowControl/>
        <w:spacing w:line="360" w:lineRule="auto"/>
        <w:jc w:val="left"/>
        <w:textAlignment w:val="center"/>
        <w:rPr>
          <w:rFonts w:ascii="宋体" w:hAnsi="宋体" w:eastAsia="宋体" w:cs="宋体"/>
          <w:kern w:val="0"/>
          <w:sz w:val="24"/>
        </w:rPr>
      </w:pPr>
    </w:p>
    <w:p>
      <w:pPr>
        <w:widowControl/>
        <w:spacing w:line="360" w:lineRule="auto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2.</w:t>
      </w:r>
      <w:r>
        <w:rPr>
          <w:rFonts w:hint="eastAsia" w:ascii="宋体" w:hAnsi="宋体" w:eastAsia="宋体" w:cs="宋体"/>
          <w:kern w:val="0"/>
          <w:sz w:val="24"/>
        </w:rPr>
        <w:fldChar w:fldCharType="begin"/>
      </w:r>
      <w:r>
        <w:rPr>
          <w:rFonts w:ascii="宋体" w:hAnsi="宋体" w:eastAsia="宋体" w:cs="宋体"/>
          <w:kern w:val="0"/>
          <w:sz w:val="24"/>
        </w:rPr>
        <w:instrText xml:space="preserve"> HYPERLINK "http://award.csu.edu.cn/j</w:instrText>
      </w:r>
      <w:r>
        <w:rPr>
          <w:rFonts w:ascii="宋体" w:hAnsi="宋体" w:eastAsia="宋体" w:cs="宋体"/>
          <w:kern w:val="0"/>
          <w:position w:val="-24"/>
          <w:sz w:val="24"/>
        </w:rPr>
        <w:instrText xml:space="preserve">z</w:instrText>
      </w:r>
      <w:r>
        <w:rPr>
          <w:rFonts w:ascii="宋体" w:hAnsi="宋体" w:eastAsia="宋体" w:cs="宋体"/>
          <w:kern w:val="0"/>
          <w:sz w:val="24"/>
        </w:rPr>
        <w:instrText xml:space="preserve">xjsp/xxsp_yx_yjxy_list.aspx?id=581BFA0F5B96B596E05316011EACF4B9@%u673A%u7535%u5DE5%u7A0B%u5B66%u9662@%u673A%u7535%u5DE5%u7A0B%u5B66%u9662@2016@%u7855%u58EB%u751F@%u5168%u90E8" \t "http://award.csu.edu.cn/jzxjsp/_blank"</w:instrText>
      </w:r>
      <w:r>
        <w:rPr>
          <w:rFonts w:hint="eastAsia" w:ascii="宋体" w:hAnsi="宋体" w:eastAsia="宋体" w:cs="宋体"/>
          <w:kern w:val="0"/>
          <w:sz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</w:rPr>
        <w:t>201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kern w:val="0"/>
          <w:sz w:val="24"/>
        </w:rPr>
        <w:t>级机电工程学院硕士生研究生学业奖学金指标</w:t>
      </w:r>
    </w:p>
    <w:p>
      <w:pPr>
        <w:widowControl/>
        <w:spacing w:line="360" w:lineRule="auto"/>
        <w:ind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计划人数：国家</w:t>
      </w:r>
      <w:r>
        <w:rPr>
          <w:rFonts w:ascii="宋体" w:hAnsi="宋体" w:eastAsia="宋体" w:cs="宋体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>一等</w:t>
      </w:r>
      <w:r>
        <w:rPr>
          <w:rFonts w:ascii="宋体" w:hAnsi="宋体" w:eastAsia="宋体" w:cs="宋体"/>
          <w:kern w:val="0"/>
          <w:sz w:val="24"/>
        </w:rPr>
        <w:t xml:space="preserve"> 16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1</w:t>
      </w:r>
      <w:r>
        <w:rPr>
          <w:rFonts w:ascii="宋体" w:hAnsi="宋体" w:eastAsia="宋体" w:cs="宋体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>人；学校一等、二等</w:t>
      </w:r>
      <w:r>
        <w:rPr>
          <w:rFonts w:ascii="宋体" w:hAnsi="宋体" w:eastAsia="宋体" w:cs="宋体"/>
          <w:kern w:val="0"/>
          <w:sz w:val="24"/>
        </w:rPr>
        <w:t xml:space="preserve"> 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74</w:t>
      </w:r>
      <w:r>
        <w:rPr>
          <w:rFonts w:ascii="宋体" w:hAnsi="宋体" w:eastAsia="宋体" w:cs="宋体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>人；</w:t>
      </w:r>
      <w:r>
        <w:rPr>
          <w:rFonts w:hint="eastAsia" w:ascii="宋体" w:hAnsi="宋体" w:eastAsia="宋体" w:cs="宋体"/>
          <w:kern w:val="0"/>
          <w:sz w:val="24"/>
        </w:rPr>
        <w:fldChar w:fldCharType="end"/>
      </w:r>
    </w:p>
    <w:p>
      <w:pPr>
        <w:widowControl/>
        <w:spacing w:line="360" w:lineRule="auto"/>
        <w:ind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参评人数：</w:t>
      </w:r>
      <w:r>
        <w:rPr>
          <w:rFonts w:ascii="宋体" w:hAnsi="宋体" w:eastAsia="宋体" w:cs="宋体"/>
          <w:kern w:val="0"/>
          <w:sz w:val="24"/>
        </w:rPr>
        <w:t>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72</w:t>
      </w:r>
      <w:r>
        <w:rPr>
          <w:rFonts w:hint="eastAsia" w:ascii="宋体" w:hAnsi="宋体" w:eastAsia="宋体" w:cs="宋体"/>
          <w:kern w:val="0"/>
          <w:sz w:val="24"/>
        </w:rPr>
        <w:t>人；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学术型硕士一等指标：= </w:t>
      </w:r>
      <w:r>
        <w:rPr>
          <w:rFonts w:hint="eastAsia" w:ascii="宋体" w:hAnsi="宋体" w:eastAsia="宋体" w:cs="宋体"/>
          <w:kern w:val="0"/>
          <w:sz w:val="24"/>
        </w:rPr>
        <w:object>
          <v:shape id="_x0000_i1027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4"/>
        </w:rPr>
        <w:t>（ 其中a为学术型学生人数、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b</w:t>
      </w:r>
      <w:r>
        <w:rPr>
          <w:rFonts w:hint="eastAsia" w:ascii="宋体" w:hAnsi="宋体" w:eastAsia="宋体" w:cs="宋体"/>
          <w:kern w:val="0"/>
          <w:sz w:val="24"/>
        </w:rPr>
        <w:t>为参评学生人数、c为校一等指标人数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=</w:t>
      </w:r>
      <w:r>
        <w:rPr>
          <w:rFonts w:hint="eastAsia" w:ascii="宋体" w:hAnsi="宋体" w:eastAsia="宋体" w:cs="宋体"/>
          <w:kern w:val="0"/>
          <w:sz w:val="24"/>
        </w:rPr>
        <w:object>
          <v:shape id="_x0000_i1030" o:spt="75" alt="" type="#_x0000_t75" style="height:34pt;width:52.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0" DrawAspect="Content" ObjectID="_1468075728" r:id="rId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=81</w:t>
      </w:r>
      <w:r>
        <w:rPr>
          <w:rFonts w:hint="eastAsia" w:ascii="宋体" w:hAnsi="宋体" w:eastAsia="宋体" w:cs="宋体"/>
          <w:kern w:val="0"/>
          <w:sz w:val="24"/>
        </w:rPr>
        <w:t>（人）</w:t>
      </w:r>
    </w:p>
    <w:p>
      <w:pPr>
        <w:widowControl/>
        <w:spacing w:line="360" w:lineRule="auto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专业型硕士一等指标：同上=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80</w:t>
      </w:r>
      <w:r>
        <w:rPr>
          <w:rFonts w:hint="eastAsia" w:ascii="宋体" w:hAnsi="宋体" w:eastAsia="宋体" w:cs="宋体"/>
          <w:kern w:val="0"/>
          <w:sz w:val="24"/>
        </w:rPr>
        <w:t>（人）</w:t>
      </w:r>
      <w:r>
        <w:rPr>
          <w:rFonts w:hint="eastAsia" w:ascii="宋体" w:hAnsi="宋体" w:eastAsia="宋体" w:cs="宋体"/>
          <w:kern w:val="0"/>
          <w:position w:val="-10"/>
          <w:sz w:val="24"/>
        </w:rPr>
        <w:object>
          <v:shape id="_x0000_i1029" o:spt="75" type="#_x0000_t75" style="height:17.25pt;width:7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1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五、评审原则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1、所有奖学金评比均按</w:t>
      </w:r>
      <w:r>
        <w:rPr>
          <w:rFonts w:hint="eastAsia" w:ascii="宋体" w:hAnsi="宋体" w:eastAsia="宋体" w:cs="宋体"/>
          <w:sz w:val="24"/>
          <w:lang w:eastAsia="zh-CN"/>
        </w:rPr>
        <w:t>总</w:t>
      </w:r>
      <w:r>
        <w:rPr>
          <w:rFonts w:hint="eastAsia" w:ascii="宋体" w:hAnsi="宋体" w:eastAsia="宋体" w:cs="宋体"/>
          <w:sz w:val="24"/>
        </w:rPr>
        <w:t>分排名进行等级确定。</w:t>
      </w:r>
    </w:p>
    <w:p>
      <w:pPr>
        <w:widowControl/>
        <w:spacing w:line="360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2、</w:t>
      </w:r>
      <w:r>
        <w:rPr>
          <w:rFonts w:hint="eastAsia" w:ascii="宋体" w:hAnsi="宋体" w:eastAsia="宋体" w:cs="宋体"/>
          <w:sz w:val="24"/>
        </w:rPr>
        <w:t>对201</w:t>
      </w:r>
      <w:r>
        <w:rPr>
          <w:rFonts w:hint="eastAsia" w:ascii="宋体" w:hAnsi="宋体" w:eastAsia="宋体" w:cs="宋体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</w:rPr>
        <w:t>级：总分=</w:t>
      </w:r>
      <m:oMath>
        <m:r>
          <m:rPr>
            <m:sty m:val="p"/>
          </m:rPr>
          <w:rPr>
            <w:rFonts w:hint="eastAsia" w:ascii="Cambria Math" w:hAnsi="Cambria Math" w:eastAsia="宋体" w:cs="宋体"/>
            <w:sz w:val="24"/>
          </w:rPr>
          <m:t>0.5</m:t>
        </m:r>
        <m:r>
          <m:rPr>
            <m:sty m:val="p"/>
          </m:rPr>
          <w:rPr>
            <w:rFonts w:ascii="Cambria Math" w:hAnsi="Cambria Math" w:eastAsia="宋体" w:cs="宋体"/>
            <w:sz w:val="24"/>
          </w:rPr>
          <m:t>×</m:t>
        </m:r>
        <m:f>
          <m:fPr>
            <m:ctrlPr>
              <w:rPr>
                <w:rFonts w:ascii="Cambria Math" w:hAnsi="Cambria Math" w:eastAsia="宋体" w:cs="宋体"/>
                <w:sz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</w:rPr>
              <m:t>a</m:t>
            </m:r>
            <m:ctrlPr>
              <w:rPr>
                <w:rFonts w:ascii="Cambria Math" w:hAnsi="Cambria Math" w:eastAsia="宋体" w:cs="宋体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sz w:val="24"/>
              </w:rPr>
              <m:t>A</m:t>
            </m:r>
            <m:ctrlPr>
              <w:rPr>
                <w:rFonts w:ascii="Cambria Math" w:hAnsi="Cambria Math" w:eastAsia="宋体" w:cs="宋体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 w:eastAsia="宋体" w:cs="宋体"/>
            <w:sz w:val="24"/>
          </w:rPr>
          <m:t>×</m:t>
        </m:r>
        <m:r>
          <m:rPr>
            <m:sty m:val="p"/>
          </m:rPr>
          <w:rPr>
            <w:rFonts w:hint="eastAsia" w:ascii="Cambria Math" w:hAnsi="Cambria Math" w:eastAsia="宋体" w:cs="宋体"/>
            <w:sz w:val="24"/>
          </w:rPr>
          <m:t>100+0.5</m:t>
        </m:r>
        <m:r>
          <m:rPr>
            <m:sty m:val="p"/>
          </m:rPr>
          <w:rPr>
            <w:rFonts w:ascii="Cambria Math" w:hAnsi="Cambria Math" w:eastAsia="宋体" w:cs="宋体"/>
            <w:sz w:val="24"/>
          </w:rPr>
          <m:t>×</m:t>
        </m:r>
        <m:f>
          <m:fPr>
            <m:ctrlPr>
              <w:rPr>
                <w:rFonts w:ascii="Cambria Math" w:hAnsi="Cambria Math" w:eastAsia="宋体" w:cs="宋体"/>
                <w:sz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</w:rPr>
              <m:t>b</m:t>
            </m:r>
            <m:ctrlPr>
              <w:rPr>
                <w:rFonts w:ascii="Cambria Math" w:hAnsi="Cambria Math" w:eastAsia="宋体" w:cs="宋体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sz w:val="24"/>
              </w:rPr>
              <m:t>B</m:t>
            </m:r>
            <m:ctrlPr>
              <w:rPr>
                <w:rFonts w:ascii="Cambria Math" w:hAnsi="Cambria Math" w:eastAsia="宋体" w:cs="宋体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 w:eastAsia="宋体" w:cs="宋体"/>
            <w:sz w:val="24"/>
          </w:rPr>
          <m:t>×100</m:t>
        </m:r>
      </m:oMath>
      <w:r>
        <w:rPr>
          <w:rFonts w:hint="eastAsia" w:ascii="宋体" w:hAnsi="宋体" w:eastAsia="宋体" w:cs="宋体"/>
          <w:sz w:val="24"/>
        </w:rPr>
        <w:t>其中a为某同学的成绩绩点，A为申请者中最高成绩绩点。b为某同学的科研成果打分，</w:t>
      </w:r>
      <w:r>
        <w:rPr>
          <w:rFonts w:ascii="宋体" w:hAnsi="宋体" w:eastAsia="宋体" w:cs="宋体"/>
          <w:sz w:val="24"/>
        </w:rPr>
        <w:t>B</w:t>
      </w:r>
      <w:r>
        <w:rPr>
          <w:rFonts w:hint="eastAsia" w:ascii="宋体" w:hAnsi="宋体" w:eastAsia="宋体" w:cs="宋体"/>
          <w:sz w:val="24"/>
        </w:rPr>
        <w:t>为申请者中最高科研成果打分。</w:t>
      </w:r>
      <w:r>
        <w:rPr>
          <w:rFonts w:hint="eastAsia" w:ascii="宋体" w:hAnsi="宋体" w:eastAsia="宋体" w:cs="宋体"/>
          <w:kern w:val="0"/>
          <w:sz w:val="24"/>
        </w:rPr>
        <w:t>学习成绩分按研究生阶段以来的绩点计算，以申请者中最高绩点为满分标准（100分），科研成果分以申报学生中最高分为满分标准（100分）。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对201</w:t>
      </w:r>
      <w:r>
        <w:rPr>
          <w:rFonts w:hint="eastAsia" w:ascii="宋体" w:hAnsi="宋体" w:eastAsia="宋体" w:cs="宋体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</w:rPr>
        <w:t>级：总分=</w:t>
      </w:r>
      <m:oMath>
        <m:r>
          <m:rPr>
            <m:sty m:val="p"/>
          </m:rPr>
          <w:rPr>
            <w:rFonts w:hint="eastAsia" w:ascii="Cambria Math" w:hAnsi="Cambria Math" w:eastAsia="宋体" w:cs="宋体"/>
            <w:sz w:val="24"/>
          </w:rPr>
          <m:t>0.8</m:t>
        </m:r>
        <m:r>
          <m:rPr>
            <m:sty m:val="p"/>
          </m:rPr>
          <w:rPr>
            <w:rFonts w:ascii="Cambria Math" w:hAnsi="Cambria Math" w:eastAsia="宋体" w:cs="宋体"/>
            <w:sz w:val="24"/>
          </w:rPr>
          <m:t>×</m:t>
        </m:r>
        <m:f>
          <m:fPr>
            <m:ctrlPr>
              <w:rPr>
                <w:rFonts w:ascii="Cambria Math" w:hAnsi="Cambria Math" w:eastAsia="宋体" w:cs="宋体"/>
                <w:sz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</w:rPr>
              <m:t>a</m:t>
            </m:r>
            <m:ctrlPr>
              <w:rPr>
                <w:rFonts w:ascii="Cambria Math" w:hAnsi="Cambria Math" w:eastAsia="宋体" w:cs="宋体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sz w:val="24"/>
              </w:rPr>
              <m:t>A</m:t>
            </m:r>
            <m:ctrlPr>
              <w:rPr>
                <w:rFonts w:ascii="Cambria Math" w:hAnsi="Cambria Math" w:eastAsia="宋体" w:cs="宋体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 w:eastAsia="宋体" w:cs="宋体"/>
            <w:sz w:val="24"/>
          </w:rPr>
          <m:t>×</m:t>
        </m:r>
        <m:r>
          <m:rPr>
            <m:sty m:val="p"/>
          </m:rPr>
          <w:rPr>
            <w:rFonts w:hint="eastAsia" w:ascii="Cambria Math" w:hAnsi="Cambria Math" w:eastAsia="宋体" w:cs="宋体"/>
            <w:sz w:val="24"/>
          </w:rPr>
          <m:t>100+0.2</m:t>
        </m:r>
        <m:r>
          <m:rPr>
            <m:sty m:val="p"/>
          </m:rPr>
          <w:rPr>
            <w:rFonts w:ascii="Cambria Math" w:hAnsi="Cambria Math" w:eastAsia="宋体" w:cs="宋体"/>
            <w:sz w:val="24"/>
          </w:rPr>
          <m:t>×</m:t>
        </m:r>
        <m:f>
          <m:fPr>
            <m:ctrlPr>
              <w:rPr>
                <w:rFonts w:ascii="Cambria Math" w:hAnsi="Cambria Math" w:eastAsia="宋体" w:cs="宋体"/>
                <w:sz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</w:rPr>
              <m:t>b</m:t>
            </m:r>
            <m:ctrlPr>
              <w:rPr>
                <w:rFonts w:ascii="Cambria Math" w:hAnsi="Cambria Math" w:eastAsia="宋体" w:cs="宋体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sz w:val="24"/>
              </w:rPr>
              <m:t>B</m:t>
            </m:r>
            <m:ctrlPr>
              <w:rPr>
                <w:rFonts w:ascii="Cambria Math" w:hAnsi="Cambria Math" w:eastAsia="宋体" w:cs="宋体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 w:eastAsia="宋体" w:cs="宋体"/>
            <w:sz w:val="24"/>
          </w:rPr>
          <m:t>×100</m:t>
        </m:r>
      </m:oMath>
      <w:r>
        <w:rPr>
          <w:rFonts w:hint="eastAsia" w:ascii="宋体" w:hAnsi="宋体" w:eastAsia="宋体" w:cs="宋体"/>
          <w:sz w:val="24"/>
        </w:rPr>
        <w:t>,符号含义同上。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博士生：</w:t>
      </w:r>
    </w:p>
    <w:p>
      <w:pPr>
        <w:widowControl/>
        <w:spacing w:line="360" w:lineRule="auto"/>
        <w:ind w:left="630" w:leftChars="300"/>
        <w:jc w:val="left"/>
        <w:textAlignment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1）一等奖学金：在满足基本条件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.1和选择条件3.3.4基础上，且不存在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.3.1和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.3.2的情况，按总分由高到低排位，一等奖指标排完为止。</w:t>
      </w:r>
    </w:p>
    <w:p>
      <w:pPr>
        <w:pStyle w:val="10"/>
        <w:widowControl/>
        <w:spacing w:line="360" w:lineRule="auto"/>
        <w:ind w:left="630" w:leftChars="300" w:firstLine="0" w:firstLineChars="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2）二、三等奖学金：满足基本条件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.1，且不存在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.3.1和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.3.2的情况，一等奖未排上的、余下的申请者按总分由高到低再按二等奖指标数排完，以此类推，再排三等奖，如三等奖指标排完后还有同学没排上，则无奖学金。</w:t>
      </w:r>
    </w:p>
    <w:p>
      <w:pPr>
        <w:widowControl/>
        <w:spacing w:line="360" w:lineRule="auto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>硕士研究生：</w:t>
      </w:r>
    </w:p>
    <w:p>
      <w:pPr>
        <w:pStyle w:val="10"/>
        <w:widowControl/>
        <w:numPr>
          <w:ilvl w:val="0"/>
          <w:numId w:val="7"/>
        </w:numPr>
        <w:spacing w:before="300" w:afterAutospacing="1" w:line="360" w:lineRule="auto"/>
        <w:ind w:firstLine="422" w:firstLineChars="0"/>
        <w:jc w:val="left"/>
        <w:textAlignment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满足基本条件</w:t>
      </w:r>
      <w:r>
        <w:rPr>
          <w:rFonts w:ascii="宋体" w:hAnsi="宋体" w:eastAsia="宋体" w:cs="宋体"/>
          <w:sz w:val="24"/>
        </w:rPr>
        <w:t>3.1</w:t>
      </w:r>
      <w:r>
        <w:rPr>
          <w:rFonts w:hint="eastAsia" w:ascii="宋体" w:hAnsi="宋体" w:eastAsia="宋体" w:cs="宋体"/>
          <w:sz w:val="24"/>
        </w:rPr>
        <w:t>，且不存在</w:t>
      </w:r>
      <w:r>
        <w:rPr>
          <w:rFonts w:ascii="宋体" w:hAnsi="宋体" w:eastAsia="宋体" w:cs="宋体"/>
          <w:sz w:val="24"/>
        </w:rPr>
        <w:t>3.2.1</w:t>
      </w:r>
      <w:r>
        <w:rPr>
          <w:rFonts w:hint="eastAsia" w:ascii="宋体" w:hAnsi="宋体" w:eastAsia="宋体" w:cs="宋体"/>
          <w:sz w:val="24"/>
        </w:rPr>
        <w:t>，则按总分由高到低排位，排完一等指标再排二等指标。二等指标排完后，其余的学生则没有该类奖学金。</w:t>
      </w:r>
    </w:p>
    <w:p>
      <w:pPr>
        <w:pStyle w:val="10"/>
        <w:widowControl/>
        <w:numPr>
          <w:ilvl w:val="0"/>
          <w:numId w:val="7"/>
        </w:numPr>
        <w:spacing w:before="300" w:afterAutospacing="1" w:line="360" w:lineRule="auto"/>
        <w:ind w:firstLine="422" w:firstLineChars="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>获得国家一等奖学金的自动获得学校一等奖学金。</w:t>
      </w:r>
    </w:p>
    <w:p>
      <w:pPr>
        <w:widowControl/>
        <w:spacing w:line="360" w:lineRule="auto"/>
        <w:jc w:val="left"/>
        <w:textAlignment w:val="center"/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六、科研成果计分办法</w:t>
      </w:r>
    </w:p>
    <w:p>
      <w:pPr>
        <w:pStyle w:val="10"/>
        <w:widowControl/>
        <w:numPr>
          <w:ilvl w:val="0"/>
          <w:numId w:val="8"/>
        </w:numPr>
        <w:spacing w:before="300" w:afterAutospacing="1" w:line="360" w:lineRule="auto"/>
        <w:ind w:left="0" w:firstLine="0" w:firstLineChars="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科研成果（论文、专著、奖励、专利及项目等）认定：</w:t>
      </w:r>
    </w:p>
    <w:p>
      <w:pPr>
        <w:pStyle w:val="10"/>
        <w:widowControl/>
        <w:spacing w:before="300" w:afterAutospacing="1" w:line="360" w:lineRule="auto"/>
        <w:ind w:firstLine="48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按学校文件规定，对博士生，以提供正式出版和发表的原件为准。科研成果出版后，申请人在奖学金申报截止日后获得成果原件的，不能补报申请本学年的奖学金，但可将该科研成果用于下一学年奖学金申报。科研项目主持人以立项书为准。</w:t>
      </w:r>
      <w:r>
        <w:rPr>
          <w:rFonts w:ascii="宋体" w:hAnsi="宋体" w:eastAsia="宋体" w:cs="宋体"/>
          <w:kern w:val="0"/>
          <w:sz w:val="24"/>
        </w:rPr>
        <w:t>对硕士研究生：论文成果可提供录用证明，分数为表</w:t>
      </w:r>
      <w:r>
        <w:rPr>
          <w:rFonts w:hint="eastAsia" w:ascii="宋体" w:hAnsi="宋体" w:eastAsia="宋体" w:cs="宋体"/>
          <w:kern w:val="0"/>
          <w:sz w:val="24"/>
        </w:rPr>
        <w:t>1对应期刊类型分数的2/3,在后面的学年度论文出版、检索后，可补齐1/3到当年的分值中。已出版、检索的论文按表1计算。</w:t>
      </w:r>
    </w:p>
    <w:p>
      <w:pPr>
        <w:pStyle w:val="10"/>
        <w:widowControl/>
        <w:numPr>
          <w:ilvl w:val="0"/>
          <w:numId w:val="8"/>
        </w:numPr>
        <w:spacing w:before="300" w:afterAutospacing="1" w:line="360" w:lineRule="auto"/>
        <w:ind w:left="0" w:firstLine="0" w:firstLineChars="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公开发表的论文须以中南大学为第一作者单位，研究生本人为第一作者或导师为第一作者、本人为第二作者。</w:t>
      </w:r>
    </w:p>
    <w:p>
      <w:pPr>
        <w:spacing w:line="360" w:lineRule="auto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（一）学术论文及专著计分</w:t>
      </w:r>
    </w:p>
    <w:p>
      <w:pPr>
        <w:widowControl/>
        <w:spacing w:before="300" w:afterAutospacing="1" w:line="360" w:lineRule="auto"/>
        <w:ind w:firstLine="2160" w:firstLineChars="900"/>
        <w:jc w:val="left"/>
        <w:textAlignment w:val="center"/>
        <w:rPr>
          <w:rFonts w:ascii="黑体" w:hAnsi="宋体" w:eastAsia="黑体" w:cs="黑体"/>
          <w:color w:val="000000"/>
          <w:kern w:val="0"/>
          <w:sz w:val="24"/>
        </w:rPr>
      </w:pPr>
      <w:r>
        <w:rPr>
          <w:rFonts w:hint="eastAsia" w:ascii="黑体" w:hAnsi="宋体" w:eastAsia="黑体" w:cs="黑体"/>
          <w:color w:val="000000"/>
          <w:kern w:val="0"/>
          <w:sz w:val="24"/>
        </w:rPr>
        <w:t>表1   学术论文及著作计分标准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   目</w:t>
            </w:r>
          </w:p>
        </w:tc>
        <w:tc>
          <w:tcPr>
            <w:tcW w:w="2841" w:type="dxa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计 分</w:t>
            </w:r>
          </w:p>
        </w:tc>
        <w:tc>
          <w:tcPr>
            <w:tcW w:w="2841" w:type="dxa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备    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spacing w:beforeAutospacing="1" w:afterAutospacing="1" w:line="360" w:lineRule="auto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SCI期刊论文</w:t>
            </w:r>
          </w:p>
        </w:tc>
        <w:tc>
          <w:tcPr>
            <w:tcW w:w="2841" w:type="dxa"/>
          </w:tcPr>
          <w:p>
            <w:pPr>
              <w:widowControl/>
              <w:spacing w:beforeAutospacing="1" w:afterAutospacing="1" w:line="360" w:lineRule="auto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一区, 40分/篇；</w:t>
            </w:r>
          </w:p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二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，30分/篇；</w:t>
            </w:r>
          </w:p>
          <w:p>
            <w:pPr>
              <w:widowControl/>
              <w:spacing w:beforeAutospacing="1" w:afterAutospacing="1" w:line="360" w:lineRule="auto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三区，25分/篇；</w:t>
            </w:r>
          </w:p>
          <w:p>
            <w:pPr>
              <w:widowControl/>
              <w:spacing w:beforeAutospacing="1" w:afterAutospacing="1" w:line="360" w:lineRule="auto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四区，20分/篇；</w:t>
            </w:r>
          </w:p>
        </w:tc>
        <w:tc>
          <w:tcPr>
            <w:tcW w:w="2841" w:type="dxa"/>
          </w:tcPr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1．论文必须为学生第一作者或导师第一作者、学生第二作者；</w:t>
            </w:r>
          </w:p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2. 专著需提供版权页。</w:t>
            </w:r>
          </w:p>
          <w:p>
            <w:pPr>
              <w:widowControl/>
              <w:numPr>
                <w:ilvl w:val="0"/>
                <w:numId w:val="9"/>
              </w:numPr>
              <w:spacing w:beforeAutospacing="1" w:afterAutospacing="1" w:line="360" w:lineRule="auto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会议论文必须提供检索证明后作为评选材料。</w:t>
            </w:r>
          </w:p>
          <w:p>
            <w:pPr>
              <w:widowControl/>
              <w:spacing w:beforeAutospacing="1" w:afterAutospacing="1" w:line="360" w:lineRule="auto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EI期刊论文</w:t>
            </w:r>
          </w:p>
        </w:tc>
        <w:tc>
          <w:tcPr>
            <w:tcW w:w="2841" w:type="dxa"/>
          </w:tcPr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15分/篇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CSCD期刊论文</w:t>
            </w:r>
          </w:p>
        </w:tc>
        <w:tc>
          <w:tcPr>
            <w:tcW w:w="2841" w:type="dxa"/>
          </w:tcPr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10分/篇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出版英文专著</w:t>
            </w:r>
          </w:p>
        </w:tc>
        <w:tc>
          <w:tcPr>
            <w:tcW w:w="2841" w:type="dxa"/>
          </w:tcPr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40分/排名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出版中文专著</w:t>
            </w:r>
          </w:p>
        </w:tc>
        <w:tc>
          <w:tcPr>
            <w:tcW w:w="2841" w:type="dxa"/>
          </w:tcPr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25分/排名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spacing w:beforeAutospacing="1" w:afterAutospacing="1" w:line="360" w:lineRule="auto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会议论文</w:t>
            </w:r>
          </w:p>
        </w:tc>
        <w:tc>
          <w:tcPr>
            <w:tcW w:w="2841" w:type="dxa"/>
          </w:tcPr>
          <w:p>
            <w:pPr>
              <w:widowControl/>
              <w:spacing w:beforeAutospacing="1" w:afterAutospacing="1" w:line="360" w:lineRule="auto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10分/篇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spacing w:before="300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CSCD期刊论文以下公开发表论文</w:t>
            </w:r>
          </w:p>
        </w:tc>
        <w:tc>
          <w:tcPr>
            <w:tcW w:w="2841" w:type="dxa"/>
          </w:tcPr>
          <w:p>
            <w:pPr>
              <w:widowControl/>
              <w:spacing w:before="300" w:afterAutospacing="1"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5分/篇</w:t>
            </w:r>
          </w:p>
        </w:tc>
        <w:tc>
          <w:tcPr>
            <w:tcW w:w="2841" w:type="dxa"/>
          </w:tcPr>
          <w:p>
            <w:pPr>
              <w:widowControl/>
              <w:spacing w:before="300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见刊证明和录用证明</w:t>
            </w:r>
          </w:p>
        </w:tc>
      </w:tr>
    </w:tbl>
    <w:p>
      <w:pPr>
        <w:widowControl/>
        <w:spacing w:before="300" w:afterAutospacing="1" w:line="360" w:lineRule="auto"/>
        <w:jc w:val="left"/>
        <w:textAlignment w:val="center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(二）科研获奖计分</w:t>
      </w:r>
    </w:p>
    <w:p>
      <w:pPr>
        <w:widowControl/>
        <w:spacing w:before="300" w:afterAutospacing="1" w:line="360" w:lineRule="auto"/>
        <w:ind w:firstLine="2160" w:firstLineChars="900"/>
        <w:jc w:val="left"/>
        <w:textAlignment w:val="center"/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黑体" w:hAnsi="宋体" w:eastAsia="黑体" w:cs="黑体"/>
          <w:color w:val="000000"/>
          <w:kern w:val="0"/>
          <w:sz w:val="24"/>
        </w:rPr>
        <w:t>表2 科研成果获奖计分标准</w:t>
      </w:r>
    </w:p>
    <w:tbl>
      <w:tblPr>
        <w:tblStyle w:val="8"/>
        <w:tblW w:w="8303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1100"/>
        <w:gridCol w:w="1346"/>
        <w:gridCol w:w="3649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获奖类型</w:t>
            </w: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获奖等级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计分</w:t>
            </w:r>
          </w:p>
        </w:tc>
        <w:tc>
          <w:tcPr>
            <w:tcW w:w="364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备    注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国家级科研成果(国家科技进步奖、国家自然科学奖、国家发明奖）</w:t>
            </w: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80分/排名</w:t>
            </w:r>
          </w:p>
        </w:tc>
        <w:tc>
          <w:tcPr>
            <w:tcW w:w="3649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ind w:left="360" w:hanging="3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1．科研成果单位必须为中南大学，否则不予计分；</w:t>
            </w:r>
          </w:p>
          <w:p>
            <w:pPr>
              <w:widowControl/>
              <w:spacing w:beforeAutospacing="1" w:afterAutospacing="1" w:line="360" w:lineRule="auto"/>
              <w:ind w:left="360" w:hanging="3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2．同一科研成果获不同级别奖励，取最高分计，不累加；</w:t>
            </w:r>
          </w:p>
          <w:p>
            <w:pPr>
              <w:widowControl/>
              <w:spacing w:beforeAutospacing="1" w:afterAutospacing="1" w:line="360" w:lineRule="auto"/>
              <w:ind w:left="360" w:hanging="3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3．只计排名前三的成果；</w:t>
            </w:r>
          </w:p>
          <w:p>
            <w:pPr>
              <w:widowControl/>
              <w:spacing w:beforeAutospacing="1" w:afterAutospacing="1" w:line="360" w:lineRule="auto"/>
              <w:ind w:left="360" w:hanging="3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4．所有成果加分应有原件证实，且提供由导师签字的材料复印件；</w:t>
            </w:r>
          </w:p>
          <w:p>
            <w:pPr>
              <w:widowControl/>
              <w:spacing w:beforeAutospacing="1" w:afterAutospacing="1" w:line="360" w:lineRule="auto"/>
              <w:ind w:left="360" w:hanging="3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5．其他获奖仅供参考。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二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60分/排名</w:t>
            </w:r>
          </w:p>
        </w:tc>
        <w:tc>
          <w:tcPr>
            <w:tcW w:w="364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省（部）级科研成果(科技进步奖、自然科学奖、发明奖）</w:t>
            </w: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40分/排名</w:t>
            </w:r>
          </w:p>
        </w:tc>
        <w:tc>
          <w:tcPr>
            <w:tcW w:w="364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二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20分/排名</w:t>
            </w:r>
          </w:p>
        </w:tc>
        <w:tc>
          <w:tcPr>
            <w:tcW w:w="364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10分/排名</w:t>
            </w:r>
          </w:p>
        </w:tc>
        <w:tc>
          <w:tcPr>
            <w:tcW w:w="364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vMerge w:val="restart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国家级学科竞赛</w:t>
            </w: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25</w:t>
            </w:r>
          </w:p>
        </w:tc>
        <w:tc>
          <w:tcPr>
            <w:tcW w:w="3649" w:type="dxa"/>
            <w:vMerge w:val="restart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numPr>
                <w:ilvl w:val="0"/>
                <w:numId w:val="10"/>
              </w:numPr>
              <w:spacing w:beforeAutospacing="1" w:afterAutospacing="1" w:line="360" w:lineRule="auto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只计本人排名前三；</w:t>
            </w:r>
          </w:p>
          <w:p>
            <w:pPr>
              <w:widowControl/>
              <w:numPr>
                <w:ilvl w:val="0"/>
                <w:numId w:val="10"/>
              </w:numPr>
              <w:spacing w:beforeAutospacing="1" w:afterAutospacing="1" w:line="360" w:lineRule="auto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所有成果加分应有原件证实，且提供由导师签字的材料复印件；</w:t>
            </w:r>
          </w:p>
          <w:p>
            <w:pPr>
              <w:widowControl/>
              <w:numPr>
                <w:ilvl w:val="0"/>
                <w:numId w:val="10"/>
              </w:numPr>
              <w:spacing w:beforeAutospacing="1" w:afterAutospacing="1" w:line="360" w:lineRule="auto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其他获奖仅供参考。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vMerge w:val="continue"/>
            <w:tcBorders>
              <w:left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二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3649" w:type="dxa"/>
            <w:vMerge w:val="continue"/>
            <w:tcBorders>
              <w:left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vMerge w:val="continue"/>
            <w:tcBorders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3649" w:type="dxa"/>
            <w:vMerge w:val="continue"/>
            <w:tcBorders>
              <w:left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vMerge w:val="restart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省部级学科竞赛</w:t>
            </w: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3649" w:type="dxa"/>
            <w:vMerge w:val="continue"/>
            <w:tcBorders>
              <w:left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vMerge w:val="continue"/>
            <w:tcBorders>
              <w:left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二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3649" w:type="dxa"/>
            <w:vMerge w:val="continue"/>
            <w:tcBorders>
              <w:left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vMerge w:val="continue"/>
            <w:tcBorders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3649" w:type="dxa"/>
            <w:vMerge w:val="continue"/>
            <w:tcBorders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</w:tbl>
    <w:p>
      <w:pPr>
        <w:widowControl/>
        <w:spacing w:before="300" w:afterAutospacing="1" w:line="360" w:lineRule="auto"/>
        <w:ind w:firstLine="420"/>
        <w:jc w:val="left"/>
        <w:textAlignment w:val="center"/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（三）国家专利及项目计分</w:t>
      </w:r>
    </w:p>
    <w:p>
      <w:pPr>
        <w:widowControl/>
        <w:spacing w:before="300" w:afterAutospacing="1" w:line="360" w:lineRule="auto"/>
        <w:jc w:val="center"/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黑体" w:hAnsi="宋体" w:eastAsia="黑体" w:cs="黑体"/>
          <w:color w:val="000000"/>
          <w:kern w:val="0"/>
          <w:sz w:val="24"/>
        </w:rPr>
        <w:t>表3   国家专利及项目计分标准</w:t>
      </w:r>
    </w:p>
    <w:tbl>
      <w:tblPr>
        <w:tblStyle w:val="8"/>
        <w:tblW w:w="8304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9"/>
        <w:gridCol w:w="1416"/>
        <w:gridCol w:w="1545"/>
        <w:gridCol w:w="3344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获奖等级</w:t>
            </w:r>
          </w:p>
        </w:tc>
        <w:tc>
          <w:tcPr>
            <w:tcW w:w="15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计分</w:t>
            </w:r>
          </w:p>
        </w:tc>
        <w:tc>
          <w:tcPr>
            <w:tcW w:w="334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ind w:left="357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备    注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国际发明专利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授权</w:t>
            </w:r>
          </w:p>
        </w:tc>
        <w:tc>
          <w:tcPr>
            <w:tcW w:w="15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40分</w:t>
            </w:r>
          </w:p>
        </w:tc>
        <w:tc>
          <w:tcPr>
            <w:tcW w:w="3344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专利只计本人排名第一，或导师</w:t>
            </w:r>
          </w:p>
          <w:p>
            <w:pPr>
              <w:widowControl/>
              <w:spacing w:beforeAutospacing="1" w:afterAutospacing="1" w:line="3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排名第一、本人排名第二的情况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国家发明专利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授权</w:t>
            </w:r>
          </w:p>
        </w:tc>
        <w:tc>
          <w:tcPr>
            <w:tcW w:w="15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30分</w:t>
            </w:r>
          </w:p>
        </w:tc>
        <w:tc>
          <w:tcPr>
            <w:tcW w:w="334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实用新型专利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授权</w:t>
            </w:r>
          </w:p>
        </w:tc>
        <w:tc>
          <w:tcPr>
            <w:tcW w:w="15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334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外观设计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授权</w:t>
            </w:r>
          </w:p>
        </w:tc>
        <w:tc>
          <w:tcPr>
            <w:tcW w:w="15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334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软件著作权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授权</w:t>
            </w:r>
          </w:p>
        </w:tc>
        <w:tc>
          <w:tcPr>
            <w:tcW w:w="15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334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9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基金项目，创新项目立项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国家级</w:t>
            </w:r>
          </w:p>
        </w:tc>
        <w:tc>
          <w:tcPr>
            <w:tcW w:w="15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30分</w:t>
            </w:r>
          </w:p>
        </w:tc>
        <w:tc>
          <w:tcPr>
            <w:tcW w:w="3344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只计第一作者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省（部）级</w:t>
            </w:r>
          </w:p>
        </w:tc>
        <w:tc>
          <w:tcPr>
            <w:tcW w:w="15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15分</w:t>
            </w:r>
          </w:p>
        </w:tc>
        <w:tc>
          <w:tcPr>
            <w:tcW w:w="334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校（市）级</w:t>
            </w:r>
          </w:p>
        </w:tc>
        <w:tc>
          <w:tcPr>
            <w:tcW w:w="15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5分</w:t>
            </w:r>
          </w:p>
        </w:tc>
        <w:tc>
          <w:tcPr>
            <w:tcW w:w="334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</w:tbl>
    <w:p>
      <w:pPr>
        <w:widowControl/>
        <w:spacing w:line="360" w:lineRule="auto"/>
        <w:ind w:firstLine="960" w:firstLineChars="300"/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另：其他成果作为评定参考条件</w:t>
      </w:r>
    </w:p>
    <w:p>
      <w:pPr>
        <w:widowControl/>
        <w:spacing w:before="300" w:afterAutospacing="1" w:line="360" w:lineRule="auto"/>
        <w:jc w:val="left"/>
        <w:textAlignment w:val="center"/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七、评审组织及程序</w:t>
      </w:r>
    </w:p>
    <w:p>
      <w:pPr>
        <w:widowControl/>
        <w:spacing w:line="360" w:lineRule="auto"/>
        <w:ind w:left="42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1)学院通知学生申报奖助学金，在规定的时间将材料交到研究生办公室。</w:t>
      </w:r>
    </w:p>
    <w:p>
      <w:pPr>
        <w:widowControl/>
        <w:spacing w:line="360" w:lineRule="auto"/>
        <w:ind w:left="42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2）学院组织对材料进行核实，并按</w:t>
      </w:r>
      <w:r>
        <w:rPr>
          <w:rFonts w:hint="eastAsia" w:ascii="宋体" w:hAnsi="宋体" w:eastAsia="宋体" w:cs="宋体"/>
          <w:sz w:val="24"/>
        </w:rPr>
        <w:t>2.3.1和2.3.2</w:t>
      </w:r>
      <w:r>
        <w:rPr>
          <w:rFonts w:hint="eastAsia" w:ascii="宋体" w:hAnsi="宋体" w:eastAsia="宋体" w:cs="宋体"/>
          <w:kern w:val="0"/>
          <w:sz w:val="24"/>
        </w:rPr>
        <w:t>对不适合申报的同学进行排查。</w:t>
      </w:r>
    </w:p>
    <w:p>
      <w:pPr>
        <w:widowControl/>
        <w:spacing w:line="360" w:lineRule="auto"/>
        <w:ind w:left="42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3）学院按上述规则计算每位申请者的总分，并与张榜公布计算结果。</w:t>
      </w:r>
    </w:p>
    <w:p>
      <w:pPr>
        <w:widowControl/>
        <w:spacing w:line="360" w:lineRule="auto"/>
        <w:ind w:left="42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4）奖学金领导小组对奖助学金进行评定，并将综合评定结果在本单位公示3个工作日以上；在学院公示阶段，对研究生学业奖学金、国家助学金初评结果有异议的，向学院评审委员会提出异议，评审委员会应及时研究并予以答复。对反映问题属实的，学院应及时对公示内容进行更改说明。</w:t>
      </w:r>
    </w:p>
    <w:p>
      <w:pPr>
        <w:widowControl/>
        <w:spacing w:before="300" w:afterAutospacing="1" w:line="360" w:lineRule="auto"/>
        <w:jc w:val="left"/>
        <w:textAlignment w:val="center"/>
        <w:rPr>
          <w:rFonts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八、附则</w:t>
      </w:r>
    </w:p>
    <w:p>
      <w:pPr>
        <w:widowControl/>
        <w:spacing w:line="360" w:lineRule="auto"/>
        <w:jc w:val="left"/>
        <w:textAlignment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本办法自公布之日起试行，由机电工程学院负责解释。原有规定与本办法不一致的，以本办法为准。</w:t>
      </w:r>
    </w:p>
    <w:p>
      <w:pPr>
        <w:widowControl/>
        <w:spacing w:line="360" w:lineRule="auto"/>
        <w:ind w:left="420" w:firstLine="3840" w:firstLineChars="1200"/>
        <w:jc w:val="left"/>
        <w:textAlignment w:val="center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ascii="宋体" w:hAnsi="宋体" w:eastAsia="宋体" w:cs="宋体"/>
          <w:kern w:val="0"/>
          <w:sz w:val="32"/>
          <w:szCs w:val="32"/>
        </w:rPr>
        <w:t>机电工程学院</w:t>
      </w:r>
    </w:p>
    <w:p>
      <w:pPr>
        <w:widowControl/>
        <w:spacing w:line="360" w:lineRule="auto"/>
        <w:ind w:left="420" w:firstLine="3840" w:firstLineChars="1200"/>
        <w:jc w:val="left"/>
        <w:textAlignment w:val="center"/>
        <w:rPr>
          <w:rFonts w:hint="eastAsia" w:ascii="宋体" w:hAnsi="宋体" w:eastAsia="宋体" w:cs="宋体"/>
          <w:kern w:val="0"/>
          <w:sz w:val="32"/>
          <w:szCs w:val="32"/>
          <w:lang w:eastAsia="zh-CN"/>
        </w:rPr>
      </w:pPr>
      <w:r>
        <w:rPr>
          <w:rFonts w:ascii="宋体" w:hAnsi="宋体" w:eastAsia="宋体" w:cs="宋体"/>
          <w:kern w:val="0"/>
          <w:sz w:val="32"/>
          <w:szCs w:val="32"/>
        </w:rPr>
        <w:t>201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t>年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9月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72FF"/>
    <w:multiLevelType w:val="multilevel"/>
    <w:tmpl w:val="0A5B72FF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decimal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7846EF"/>
    <w:multiLevelType w:val="multilevel"/>
    <w:tmpl w:val="0A7846EF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77C46BA"/>
    <w:multiLevelType w:val="multilevel"/>
    <w:tmpl w:val="377C46B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decimal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BB25A56"/>
    <w:multiLevelType w:val="multilevel"/>
    <w:tmpl w:val="3BB25A56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 w:tentative="0">
      <w:start w:val="1"/>
      <w:numFmt w:val="japaneseCounting"/>
      <w:lvlText w:val="（%3）"/>
      <w:lvlJc w:val="left"/>
      <w:pPr>
        <w:ind w:left="198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EC556C0"/>
    <w:multiLevelType w:val="multilevel"/>
    <w:tmpl w:val="3EC556C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57A633A"/>
    <w:multiLevelType w:val="multilevel"/>
    <w:tmpl w:val="557A633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9F93388"/>
    <w:multiLevelType w:val="singleLevel"/>
    <w:tmpl w:val="59F93388"/>
    <w:lvl w:ilvl="0" w:tentative="0">
      <w:start w:val="3"/>
      <w:numFmt w:val="decimal"/>
      <w:suff w:val="nothing"/>
      <w:lvlText w:val="%1、"/>
      <w:lvlJc w:val="left"/>
    </w:lvl>
  </w:abstractNum>
  <w:abstractNum w:abstractNumId="7">
    <w:nsid w:val="59FC3AC9"/>
    <w:multiLevelType w:val="singleLevel"/>
    <w:tmpl w:val="59FC3AC9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6B741BEE"/>
    <w:multiLevelType w:val="multilevel"/>
    <w:tmpl w:val="6B741BEE"/>
    <w:lvl w:ilvl="0" w:tentative="0">
      <w:start w:val="1"/>
      <w:numFmt w:val="decimal"/>
      <w:lvlText w:val="%1）"/>
      <w:lvlJc w:val="left"/>
      <w:pPr>
        <w:ind w:left="9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abstractNum w:abstractNumId="9">
    <w:nsid w:val="7016517B"/>
    <w:multiLevelType w:val="multilevel"/>
    <w:tmpl w:val="7016517B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decimal"/>
      <w:lvlText w:val="%3."/>
      <w:lvlJc w:val="lef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20"/>
    <w:rsid w:val="000619F9"/>
    <w:rsid w:val="0007087E"/>
    <w:rsid w:val="000B6179"/>
    <w:rsid w:val="00170D69"/>
    <w:rsid w:val="002E0E9B"/>
    <w:rsid w:val="003E7502"/>
    <w:rsid w:val="0040173D"/>
    <w:rsid w:val="00555D90"/>
    <w:rsid w:val="005E682A"/>
    <w:rsid w:val="005F5B20"/>
    <w:rsid w:val="00683801"/>
    <w:rsid w:val="006C05D6"/>
    <w:rsid w:val="0076048F"/>
    <w:rsid w:val="007A66B8"/>
    <w:rsid w:val="007A772E"/>
    <w:rsid w:val="0080517C"/>
    <w:rsid w:val="0085534F"/>
    <w:rsid w:val="00872709"/>
    <w:rsid w:val="00891C22"/>
    <w:rsid w:val="008E5E7F"/>
    <w:rsid w:val="009A48DA"/>
    <w:rsid w:val="009E6AC5"/>
    <w:rsid w:val="00AA10EB"/>
    <w:rsid w:val="00B25EA7"/>
    <w:rsid w:val="00B94636"/>
    <w:rsid w:val="00D4300E"/>
    <w:rsid w:val="00E858F1"/>
    <w:rsid w:val="00E91450"/>
    <w:rsid w:val="00EA0414"/>
    <w:rsid w:val="00EE4905"/>
    <w:rsid w:val="00F93721"/>
    <w:rsid w:val="0141669E"/>
    <w:rsid w:val="018170B1"/>
    <w:rsid w:val="02ED33C7"/>
    <w:rsid w:val="041B1E26"/>
    <w:rsid w:val="04427E56"/>
    <w:rsid w:val="066F23A7"/>
    <w:rsid w:val="075F6B73"/>
    <w:rsid w:val="080D3880"/>
    <w:rsid w:val="084120CB"/>
    <w:rsid w:val="08914B5F"/>
    <w:rsid w:val="091F181D"/>
    <w:rsid w:val="0B410B93"/>
    <w:rsid w:val="0BCE0552"/>
    <w:rsid w:val="0C0C5A24"/>
    <w:rsid w:val="0D3C0C61"/>
    <w:rsid w:val="0E0A3CE4"/>
    <w:rsid w:val="0F8961B5"/>
    <w:rsid w:val="0FA34A7D"/>
    <w:rsid w:val="10F17935"/>
    <w:rsid w:val="11145FC7"/>
    <w:rsid w:val="13363520"/>
    <w:rsid w:val="154078FA"/>
    <w:rsid w:val="15A7346B"/>
    <w:rsid w:val="15C94B6D"/>
    <w:rsid w:val="160576EE"/>
    <w:rsid w:val="184927B7"/>
    <w:rsid w:val="19134703"/>
    <w:rsid w:val="19C830B2"/>
    <w:rsid w:val="1A4B089D"/>
    <w:rsid w:val="1AA72992"/>
    <w:rsid w:val="1C8245DC"/>
    <w:rsid w:val="1CFD4CA8"/>
    <w:rsid w:val="1D403E2D"/>
    <w:rsid w:val="1E186BCE"/>
    <w:rsid w:val="1EE40138"/>
    <w:rsid w:val="1FFA2AE8"/>
    <w:rsid w:val="201F64AE"/>
    <w:rsid w:val="278160AE"/>
    <w:rsid w:val="28073608"/>
    <w:rsid w:val="28CA1954"/>
    <w:rsid w:val="296A2F60"/>
    <w:rsid w:val="2A0B064C"/>
    <w:rsid w:val="2B8C48BB"/>
    <w:rsid w:val="2C70408F"/>
    <w:rsid w:val="2E537511"/>
    <w:rsid w:val="2FA074E5"/>
    <w:rsid w:val="2FD30478"/>
    <w:rsid w:val="31B545A2"/>
    <w:rsid w:val="337654AA"/>
    <w:rsid w:val="339215BB"/>
    <w:rsid w:val="35462E1C"/>
    <w:rsid w:val="36DD45ED"/>
    <w:rsid w:val="37851EC2"/>
    <w:rsid w:val="3A0C678E"/>
    <w:rsid w:val="3A364592"/>
    <w:rsid w:val="3A4C28A4"/>
    <w:rsid w:val="3B7A1CF5"/>
    <w:rsid w:val="3C20173A"/>
    <w:rsid w:val="3CF859CE"/>
    <w:rsid w:val="3CFA29F9"/>
    <w:rsid w:val="3D907404"/>
    <w:rsid w:val="3DF74D55"/>
    <w:rsid w:val="3E887E76"/>
    <w:rsid w:val="3EB170DC"/>
    <w:rsid w:val="3F6A6AE5"/>
    <w:rsid w:val="40402B31"/>
    <w:rsid w:val="40FC2AA5"/>
    <w:rsid w:val="411F2679"/>
    <w:rsid w:val="43F825C5"/>
    <w:rsid w:val="4594334E"/>
    <w:rsid w:val="45A64F77"/>
    <w:rsid w:val="45AB6258"/>
    <w:rsid w:val="45EC07F8"/>
    <w:rsid w:val="46C8555E"/>
    <w:rsid w:val="46E11A2E"/>
    <w:rsid w:val="46EE38B7"/>
    <w:rsid w:val="47822BEE"/>
    <w:rsid w:val="480220C3"/>
    <w:rsid w:val="4AE241A6"/>
    <w:rsid w:val="4B6762A5"/>
    <w:rsid w:val="4B83220A"/>
    <w:rsid w:val="4C1B75C1"/>
    <w:rsid w:val="4C263A15"/>
    <w:rsid w:val="4C2E30B6"/>
    <w:rsid w:val="4D931AB7"/>
    <w:rsid w:val="4E5C76C5"/>
    <w:rsid w:val="4EC94373"/>
    <w:rsid w:val="4F1D0734"/>
    <w:rsid w:val="4F414C53"/>
    <w:rsid w:val="50104BC8"/>
    <w:rsid w:val="50C20F69"/>
    <w:rsid w:val="51C60A9D"/>
    <w:rsid w:val="52430398"/>
    <w:rsid w:val="53334DA3"/>
    <w:rsid w:val="54AB7F59"/>
    <w:rsid w:val="55F23290"/>
    <w:rsid w:val="55FF0596"/>
    <w:rsid w:val="5628147B"/>
    <w:rsid w:val="5864491F"/>
    <w:rsid w:val="5A275366"/>
    <w:rsid w:val="5A77647E"/>
    <w:rsid w:val="5ABD06BD"/>
    <w:rsid w:val="5AE0401E"/>
    <w:rsid w:val="5B8744AE"/>
    <w:rsid w:val="5EAE2F5E"/>
    <w:rsid w:val="5EE6650B"/>
    <w:rsid w:val="5F814488"/>
    <w:rsid w:val="61DE47CF"/>
    <w:rsid w:val="64B44188"/>
    <w:rsid w:val="65157B3F"/>
    <w:rsid w:val="65A0659F"/>
    <w:rsid w:val="66334BA9"/>
    <w:rsid w:val="66B85250"/>
    <w:rsid w:val="67F10E7E"/>
    <w:rsid w:val="68DE34E0"/>
    <w:rsid w:val="68EF29F1"/>
    <w:rsid w:val="69554FBF"/>
    <w:rsid w:val="69E97EFB"/>
    <w:rsid w:val="6AF637AD"/>
    <w:rsid w:val="6B393853"/>
    <w:rsid w:val="6BB547EA"/>
    <w:rsid w:val="6D344B38"/>
    <w:rsid w:val="6EB31E4F"/>
    <w:rsid w:val="6ECC42FB"/>
    <w:rsid w:val="6F2E353B"/>
    <w:rsid w:val="6F6A008A"/>
    <w:rsid w:val="6FDC26CD"/>
    <w:rsid w:val="72F00A33"/>
    <w:rsid w:val="755253A1"/>
    <w:rsid w:val="76723558"/>
    <w:rsid w:val="76D6457E"/>
    <w:rsid w:val="770F4D8A"/>
    <w:rsid w:val="78E03884"/>
    <w:rsid w:val="7A6C0597"/>
    <w:rsid w:val="7B8D0E23"/>
    <w:rsid w:val="7B8E4539"/>
    <w:rsid w:val="7BA2164F"/>
    <w:rsid w:val="7CA01855"/>
    <w:rsid w:val="7FA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2">
    <w:name w:val="页眉 Char"/>
    <w:basedOn w:val="6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6"/>
    <w:link w:val="4"/>
    <w:qFormat/>
    <w:uiPriority w:val="0"/>
    <w:rPr>
      <w:kern w:val="2"/>
      <w:sz w:val="18"/>
      <w:szCs w:val="18"/>
    </w:rPr>
  </w:style>
  <w:style w:type="character" w:styleId="14">
    <w:name w:val="Placeholder Text"/>
    <w:basedOn w:val="6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993</Words>
  <Characters>5666</Characters>
  <Lines>47</Lines>
  <Paragraphs>13</Paragraphs>
  <TotalTime>3</TotalTime>
  <ScaleCrop>false</ScaleCrop>
  <LinksUpToDate>false</LinksUpToDate>
  <CharactersWithSpaces>6646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蔡齐</cp:lastModifiedBy>
  <cp:lastPrinted>2018-09-11T09:29:00Z</cp:lastPrinted>
  <dcterms:modified xsi:type="dcterms:W3CDTF">2018-09-20T01:48:26Z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